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77" w:rsidRDefault="005204C1">
      <w:bookmarkStart w:id="0" w:name="_GoBack"/>
      <w:bookmarkEnd w:id="0"/>
      <w:r w:rsidRPr="005204C1">
        <w:rPr>
          <w:noProof/>
          <w:lang w:val="en-US"/>
        </w:rPr>
        <mc:AlternateContent>
          <mc:Choice Requires="wps">
            <w:drawing>
              <wp:anchor distT="0" distB="0" distL="114300" distR="114300" simplePos="0" relativeHeight="251661312" behindDoc="0" locked="0" layoutInCell="1" allowOverlap="1" wp14:anchorId="27551C1E" wp14:editId="07247CF3">
                <wp:simplePos x="0" y="0"/>
                <wp:positionH relativeFrom="column">
                  <wp:posOffset>5095875</wp:posOffset>
                </wp:positionH>
                <wp:positionV relativeFrom="paragraph">
                  <wp:posOffset>112395</wp:posOffset>
                </wp:positionV>
                <wp:extent cx="1841500" cy="1006475"/>
                <wp:effectExtent l="57150" t="19050" r="63500" b="79375"/>
                <wp:wrapNone/>
                <wp:docPr id="27" name="Rectangle 26"/>
                <wp:cNvGraphicFramePr/>
                <a:graphic xmlns:a="http://schemas.openxmlformats.org/drawingml/2006/main">
                  <a:graphicData uri="http://schemas.microsoft.com/office/word/2010/wordprocessingShape">
                    <wps:wsp>
                      <wps:cNvSpPr/>
                      <wps:spPr>
                        <a:xfrm>
                          <a:off x="0" y="0"/>
                          <a:ext cx="1841500" cy="1006475"/>
                        </a:xfrm>
                        <a:prstGeom prst="rect">
                          <a:avLst/>
                        </a:prstGeom>
                        <a:gradFill>
                          <a:gsLst>
                            <a:gs pos="80000">
                              <a:schemeClr val="bg1"/>
                            </a:gs>
                            <a:gs pos="0">
                              <a:schemeClr val="accent1">
                                <a:lumMod val="75000"/>
                              </a:schemeClr>
                            </a:gs>
                          </a:gsLs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81F72D2" id="Rectangle 26" o:spid="_x0000_s1026" style="position:absolute;margin-left:401.25pt;margin-top:8.85pt;width:145pt;height:7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" fillcolor="#365f91 [2404]" stroked="f">
                <v:fill color2="white [3212]" rotate="t" angle="180" colors="0 #376092;52429f white" focus="100%" type="gradient">
                  <o:fill v:ext="view" type="gradientUnscaled"/>
                </v:fill>
                <v:shadow on="t" color="black" opacity="22937f" origin=",.5" offset="0,.63889mm"/>
              </v:rect>
            </w:pict>
          </mc:Fallback>
        </mc:AlternateContent>
      </w:r>
      <w:r w:rsidRPr="003440B2">
        <w:rPr>
          <w:noProof/>
          <w:lang w:val="en-US"/>
        </w:rPr>
        <mc:AlternateContent>
          <mc:Choice Requires="wps">
            <w:drawing>
              <wp:anchor distT="0" distB="0" distL="114300" distR="114300" simplePos="0" relativeHeight="251659264" behindDoc="0" locked="0" layoutInCell="1" allowOverlap="1" wp14:anchorId="220503B9" wp14:editId="356C9E22">
                <wp:simplePos x="0" y="0"/>
                <wp:positionH relativeFrom="column">
                  <wp:posOffset>-154305</wp:posOffset>
                </wp:positionH>
                <wp:positionV relativeFrom="paragraph">
                  <wp:posOffset>104775</wp:posOffset>
                </wp:positionV>
                <wp:extent cx="5205730" cy="1006475"/>
                <wp:effectExtent l="57150" t="19050" r="52070" b="79375"/>
                <wp:wrapNone/>
                <wp:docPr id="26" name="Rectangle 25"/>
                <wp:cNvGraphicFramePr/>
                <a:graphic xmlns:a="http://schemas.openxmlformats.org/drawingml/2006/main">
                  <a:graphicData uri="http://schemas.microsoft.com/office/word/2010/wordprocessingShape">
                    <wps:wsp>
                      <wps:cNvSpPr/>
                      <wps:spPr>
                        <a:xfrm>
                          <a:off x="0" y="0"/>
                          <a:ext cx="5205730" cy="1006475"/>
                        </a:xfrm>
                        <a:prstGeom prst="rect">
                          <a:avLst/>
                        </a:prstGeom>
                        <a:gradFill>
                          <a:gsLst>
                            <a:gs pos="100000">
                              <a:srgbClr val="C00000"/>
                            </a:gs>
                            <a:gs pos="0">
                              <a:schemeClr val="accent1">
                                <a:lumMod val="75000"/>
                              </a:schemeClr>
                            </a:gs>
                          </a:gsLst>
                        </a:gradFill>
                        <a:ln>
                          <a:noFill/>
                        </a:ln>
                      </wps:spPr>
                      <wps:style>
                        <a:lnRef idx="1">
                          <a:schemeClr val="accent1"/>
                        </a:lnRef>
                        <a:fillRef idx="3">
                          <a:schemeClr val="accent1"/>
                        </a:fillRef>
                        <a:effectRef idx="2">
                          <a:schemeClr val="accent1"/>
                        </a:effectRef>
                        <a:fontRef idx="minor">
                          <a:schemeClr val="lt1"/>
                        </a:fontRef>
                      </wps:style>
                      <wps:txbx>
                        <w:txbxContent>
                          <w:p w:rsidR="005204C1" w:rsidRPr="005204C1" w:rsidRDefault="005204C1" w:rsidP="005204C1">
                            <w:pPr>
                              <w:jc w:val="center"/>
                              <w:rPr>
                                <w:sz w:val="52"/>
                              </w:rPr>
                            </w:pPr>
                            <w:r w:rsidRPr="005204C1">
                              <w:rPr>
                                <w:b/>
                                <w:bCs/>
                                <w:sz w:val="52"/>
                              </w:rPr>
                              <w:t>Jelgavas pilsētas pedagogu konkurss 2018./2019.m. g.</w:t>
                            </w:r>
                          </w:p>
                        </w:txbxContent>
                      </wps:txbx>
                      <wps:bodyPr rtlCol="0" anchor="ctr"/>
                    </wps:wsp>
                  </a:graphicData>
                </a:graphic>
              </wp:anchor>
            </w:drawing>
          </mc:Choice>
          <mc:Fallback>
            <w:pict>
              <v:rect w14:anchorId="220503B9" id="Rectangle 25" o:spid="_x0000_s1026" style="position:absolute;margin-left:-12.15pt;margin-top:8.25pt;width:409.9pt;height:7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" fillcolor="#365f91 [2404]" stroked="f">
                <v:fill color2="#c00000" rotate="t" angle="180" focus="100%" type="gradient">
                  <o:fill v:ext="view" type="gradientUnscaled"/>
                </v:fill>
                <v:shadow on="t" color="black" opacity="22937f" origin=",.5" offset="0,.63889mm"/>
                <v:textbox>
                  <w:txbxContent>
                    <w:p w:rsidR="005204C1" w:rsidRPr="005204C1" w:rsidRDefault="005204C1" w:rsidP="005204C1">
                      <w:pPr>
                        <w:jc w:val="center"/>
                        <w:rPr>
                          <w:sz w:val="52"/>
                        </w:rPr>
                      </w:pPr>
                      <w:r w:rsidRPr="005204C1">
                        <w:rPr>
                          <w:b/>
                          <w:bCs/>
                          <w:sz w:val="52"/>
                        </w:rPr>
                        <w:t>Jelgavas pilsētas pedagogu konkurss 2018./2019.m. g.</w:t>
                      </w:r>
                    </w:p>
                  </w:txbxContent>
                </v:textbox>
              </v:rect>
            </w:pict>
          </mc:Fallback>
        </mc:AlternateContent>
      </w:r>
    </w:p>
    <w:p w:rsidR="00963A00" w:rsidRDefault="00E236A1">
      <w:r w:rsidRPr="005204C1">
        <w:rPr>
          <w:noProof/>
          <w:lang w:val="en-US"/>
        </w:rPr>
        <w:drawing>
          <wp:anchor distT="0" distB="0" distL="114300" distR="114300" simplePos="0" relativeHeight="251662336" behindDoc="0" locked="0" layoutInCell="1" allowOverlap="1" wp14:anchorId="22FB5499" wp14:editId="1EE927AF">
            <wp:simplePos x="0" y="0"/>
            <wp:positionH relativeFrom="column">
              <wp:posOffset>5173652</wp:posOffset>
            </wp:positionH>
            <wp:positionV relativeFrom="paragraph">
              <wp:posOffset>95316</wp:posOffset>
            </wp:positionV>
            <wp:extent cx="1697990" cy="685165"/>
            <wp:effectExtent l="0" t="0" r="0" b="635"/>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2131" cy="686836"/>
                    </a:xfrm>
                    <a:prstGeom prst="rect">
                      <a:avLst/>
                    </a:prstGeom>
                    <a:ln>
                      <a:noFill/>
                    </a:ln>
                    <a:effectLst>
                      <a:softEdge rad="63500"/>
                    </a:effectLst>
                  </pic:spPr>
                </pic:pic>
              </a:graphicData>
            </a:graphic>
            <wp14:sizeRelH relativeFrom="margin">
              <wp14:pctWidth>0</wp14:pctWidth>
            </wp14:sizeRelH>
            <wp14:sizeRelV relativeFrom="margin">
              <wp14:pctHeight>0</wp14:pctHeight>
            </wp14:sizeRelV>
          </wp:anchor>
        </w:drawing>
      </w:r>
    </w:p>
    <w:p w:rsidR="005204C1" w:rsidRDefault="005204C1"/>
    <w:p w:rsidR="005204C1" w:rsidRDefault="005204C1"/>
    <w:p w:rsidR="005204C1" w:rsidRDefault="005204C1"/>
    <w:p w:rsidR="005204C1" w:rsidRDefault="005204C1"/>
    <w:p w:rsidR="005204C1" w:rsidRDefault="005204C1"/>
    <w:p w:rsidR="005204C1" w:rsidRDefault="005204C1">
      <w:pPr>
        <w:rPr>
          <w:b/>
          <w:sz w:val="32"/>
        </w:rPr>
      </w:pPr>
      <w:r w:rsidRPr="005204C1">
        <w:rPr>
          <w:b/>
          <w:sz w:val="32"/>
        </w:rPr>
        <w:t>Liene Sabule, Jelgavas Valsts ģimnāzija</w:t>
      </w:r>
    </w:p>
    <w:p w:rsidR="005204C1" w:rsidRDefault="005204C1">
      <w:pPr>
        <w:rPr>
          <w:b/>
          <w:sz w:val="44"/>
        </w:rPr>
      </w:pPr>
    </w:p>
    <w:p w:rsidR="005204C1" w:rsidRPr="005204C1" w:rsidRDefault="005204C1">
      <w:pPr>
        <w:rPr>
          <w:b/>
          <w:sz w:val="44"/>
        </w:rPr>
      </w:pPr>
      <w:r w:rsidRPr="005204C1">
        <w:rPr>
          <w:b/>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Tēma: </w:t>
      </w:r>
      <w:r w:rsidRPr="005204C1">
        <w:rPr>
          <w:b/>
          <w:sz w:val="44"/>
        </w:rPr>
        <w:t>Šūnu dalīšanās, 11.klase</w:t>
      </w:r>
    </w:p>
    <w:p w:rsidR="005204C1" w:rsidRDefault="005204C1"/>
    <w:p w:rsidR="005204C1" w:rsidRPr="00963A00" w:rsidRDefault="005204C1"/>
    <w:p w:rsidR="00814DDC" w:rsidRPr="00963A00" w:rsidRDefault="00814DDC">
      <w:pPr>
        <w:rPr>
          <w:b/>
        </w:rPr>
      </w:pPr>
      <w:r w:rsidRPr="00963A00">
        <w:rPr>
          <w:b/>
        </w:rPr>
        <w:t xml:space="preserve">Skolēnam </w:t>
      </w:r>
      <w:r w:rsidR="00963A00" w:rsidRPr="00963A00">
        <w:rPr>
          <w:b/>
        </w:rPr>
        <w:t xml:space="preserve">tēmā “Šūnu dalīšanās” </w:t>
      </w:r>
      <w:r w:rsidRPr="00963A00">
        <w:rPr>
          <w:b/>
        </w:rPr>
        <w:t>sasniedzamie rezultāti (SR)</w:t>
      </w:r>
    </w:p>
    <w:tbl>
      <w:tblPr>
        <w:tblStyle w:val="TableGrid"/>
        <w:tblW w:w="0" w:type="auto"/>
        <w:tblLook w:val="04A0" w:firstRow="1" w:lastRow="0" w:firstColumn="1" w:lastColumn="0" w:noHBand="0" w:noVBand="1"/>
      </w:tblPr>
      <w:tblGrid>
        <w:gridCol w:w="3481"/>
        <w:gridCol w:w="7281"/>
      </w:tblGrid>
      <w:tr w:rsidR="00814DDC" w:rsidTr="00963A00">
        <w:tc>
          <w:tcPr>
            <w:tcW w:w="3510" w:type="dxa"/>
            <w:shd w:val="clear" w:color="auto" w:fill="F2F2F2" w:themeFill="background1" w:themeFillShade="F2"/>
          </w:tcPr>
          <w:p w:rsidR="00814DDC" w:rsidRPr="00814DDC" w:rsidRDefault="00814DDC">
            <w:pPr>
              <w:rPr>
                <w:b/>
              </w:rPr>
            </w:pPr>
            <w:r w:rsidRPr="00814DDC">
              <w:rPr>
                <w:b/>
              </w:rPr>
              <w:t>Stundas tēma</w:t>
            </w:r>
          </w:p>
        </w:tc>
        <w:tc>
          <w:tcPr>
            <w:tcW w:w="7371" w:type="dxa"/>
            <w:shd w:val="clear" w:color="auto" w:fill="F2F2F2" w:themeFill="background1" w:themeFillShade="F2"/>
          </w:tcPr>
          <w:p w:rsidR="00814DDC" w:rsidRPr="00814DDC" w:rsidRDefault="00814DDC">
            <w:pPr>
              <w:rPr>
                <w:b/>
              </w:rPr>
            </w:pPr>
            <w:r w:rsidRPr="00814DDC">
              <w:rPr>
                <w:b/>
              </w:rPr>
              <w:t>SR</w:t>
            </w:r>
          </w:p>
        </w:tc>
      </w:tr>
      <w:tr w:rsidR="00814DDC" w:rsidTr="00963A00">
        <w:tc>
          <w:tcPr>
            <w:tcW w:w="3510" w:type="dxa"/>
          </w:tcPr>
          <w:p w:rsidR="00814DDC" w:rsidRDefault="00814DDC">
            <w:r>
              <w:t>Šūnu dalīšanās</w:t>
            </w:r>
          </w:p>
        </w:tc>
        <w:tc>
          <w:tcPr>
            <w:tcW w:w="7371" w:type="dxa"/>
          </w:tcPr>
          <w:p w:rsidR="00814DDC" w:rsidRDefault="00814DDC" w:rsidP="00963A00">
            <w:pPr>
              <w:pStyle w:val="ListParagraph"/>
              <w:numPr>
                <w:ilvl w:val="0"/>
                <w:numId w:val="1"/>
              </w:numPr>
              <w:ind w:left="317"/>
            </w:pPr>
            <w:r>
              <w:t>Zina šūnu dalīšanās nozīmi un zinātnes attīstības vēsturi.</w:t>
            </w:r>
          </w:p>
          <w:p w:rsidR="00814DDC" w:rsidRDefault="00814DDC" w:rsidP="00963A00">
            <w:pPr>
              <w:pStyle w:val="ListParagraph"/>
              <w:numPr>
                <w:ilvl w:val="0"/>
                <w:numId w:val="1"/>
              </w:numPr>
              <w:ind w:left="317"/>
            </w:pPr>
            <w:r>
              <w:t>Izmanto jēdzienus šūnu dalīšanās procesa skaidrošanai (</w:t>
            </w:r>
            <w:r w:rsidRPr="00814DDC">
              <w:t>mitoze, mejoze, amitoze, interfāze, homologās hromosomas, haploīds, diploīds, krustmija, DNS replikācija</w:t>
            </w:r>
            <w:r>
              <w:t>).</w:t>
            </w:r>
          </w:p>
        </w:tc>
      </w:tr>
      <w:tr w:rsidR="00814DDC" w:rsidTr="00963A00">
        <w:tc>
          <w:tcPr>
            <w:tcW w:w="3510" w:type="dxa"/>
          </w:tcPr>
          <w:p w:rsidR="00814DDC" w:rsidRDefault="00814DDC">
            <w:r>
              <w:t>Mitoze</w:t>
            </w:r>
          </w:p>
        </w:tc>
        <w:tc>
          <w:tcPr>
            <w:tcW w:w="7371" w:type="dxa"/>
          </w:tcPr>
          <w:p w:rsidR="00814DDC" w:rsidRDefault="00814DDC" w:rsidP="00963A00">
            <w:pPr>
              <w:pStyle w:val="ListParagraph"/>
              <w:numPr>
                <w:ilvl w:val="0"/>
                <w:numId w:val="2"/>
              </w:numPr>
              <w:ind w:left="317"/>
            </w:pPr>
            <w:r>
              <w:t>Saskata mitozes stadijas šūnu mikropreparātos.</w:t>
            </w:r>
          </w:p>
          <w:p w:rsidR="00814DDC" w:rsidRDefault="00814DDC" w:rsidP="00963A00">
            <w:pPr>
              <w:pStyle w:val="ListParagraph"/>
              <w:numPr>
                <w:ilvl w:val="0"/>
                <w:numId w:val="2"/>
              </w:numPr>
              <w:ind w:left="317"/>
            </w:pPr>
            <w:r>
              <w:t>Attēlo mitozes stadijas shematiskos zīmējumos.</w:t>
            </w:r>
          </w:p>
        </w:tc>
      </w:tr>
      <w:tr w:rsidR="00814DDC" w:rsidTr="00963A00">
        <w:tc>
          <w:tcPr>
            <w:tcW w:w="3510" w:type="dxa"/>
          </w:tcPr>
          <w:p w:rsidR="00814DDC" w:rsidRDefault="00814DDC">
            <w:r>
              <w:t>Mitoze - modelis</w:t>
            </w:r>
          </w:p>
        </w:tc>
        <w:tc>
          <w:tcPr>
            <w:tcW w:w="7371" w:type="dxa"/>
          </w:tcPr>
          <w:p w:rsidR="00814DDC" w:rsidRDefault="00814DDC" w:rsidP="00963A00">
            <w:pPr>
              <w:pStyle w:val="ListParagraph"/>
              <w:numPr>
                <w:ilvl w:val="0"/>
                <w:numId w:val="3"/>
              </w:numPr>
              <w:ind w:left="317"/>
            </w:pPr>
            <w:r>
              <w:t>Veido vizuālu mitozes modeli (norises shēmu).</w:t>
            </w:r>
          </w:p>
          <w:p w:rsidR="00814DDC" w:rsidRDefault="00814DDC" w:rsidP="00963A00">
            <w:pPr>
              <w:pStyle w:val="ListParagraph"/>
              <w:numPr>
                <w:ilvl w:val="0"/>
                <w:numId w:val="3"/>
              </w:numPr>
              <w:ind w:left="317"/>
            </w:pPr>
            <w:r>
              <w:t>Skaidro, kā notiek mitoze.</w:t>
            </w:r>
          </w:p>
        </w:tc>
      </w:tr>
      <w:tr w:rsidR="00814DDC" w:rsidTr="00963A00">
        <w:tc>
          <w:tcPr>
            <w:tcW w:w="3510" w:type="dxa"/>
          </w:tcPr>
          <w:p w:rsidR="00814DDC" w:rsidRDefault="00814DDC">
            <w:r>
              <w:t>LD Šūnu dzīves cikla izpēte sīpola sakņu veidotājaudos</w:t>
            </w:r>
          </w:p>
        </w:tc>
        <w:tc>
          <w:tcPr>
            <w:tcW w:w="7371" w:type="dxa"/>
          </w:tcPr>
          <w:p w:rsidR="00814DDC" w:rsidRDefault="00963A00" w:rsidP="00963A00">
            <w:pPr>
              <w:pStyle w:val="ListParagraph"/>
              <w:numPr>
                <w:ilvl w:val="0"/>
                <w:numId w:val="4"/>
              </w:numPr>
              <w:ind w:left="317"/>
            </w:pPr>
            <w:r>
              <w:t>Saskata mitozes stadijas sīpola šūnu mikropreparātos.</w:t>
            </w:r>
          </w:p>
          <w:p w:rsidR="00963A00" w:rsidRDefault="00963A00" w:rsidP="00963A00">
            <w:pPr>
              <w:pStyle w:val="ListParagraph"/>
              <w:numPr>
                <w:ilvl w:val="0"/>
                <w:numId w:val="4"/>
              </w:numPr>
              <w:ind w:left="317"/>
            </w:pPr>
            <w:r>
              <w:t>Aprēķina mitozes stadiju ilgumu sīpola šūnās.</w:t>
            </w:r>
          </w:p>
        </w:tc>
      </w:tr>
      <w:tr w:rsidR="00814DDC" w:rsidTr="00963A00">
        <w:tc>
          <w:tcPr>
            <w:tcW w:w="3510" w:type="dxa"/>
          </w:tcPr>
          <w:p w:rsidR="00814DDC" w:rsidRDefault="00963A00">
            <w:r>
              <w:t>Mejoze</w:t>
            </w:r>
          </w:p>
        </w:tc>
        <w:tc>
          <w:tcPr>
            <w:tcW w:w="7371" w:type="dxa"/>
          </w:tcPr>
          <w:p w:rsidR="00814DDC" w:rsidRDefault="00963A00" w:rsidP="00963A00">
            <w:pPr>
              <w:pStyle w:val="ListParagraph"/>
              <w:numPr>
                <w:ilvl w:val="0"/>
                <w:numId w:val="5"/>
              </w:numPr>
              <w:ind w:left="317"/>
            </w:pPr>
            <w:r>
              <w:t>Skaidro, kā notiek mejoze.</w:t>
            </w:r>
          </w:p>
          <w:p w:rsidR="00963A00" w:rsidRDefault="00963A00" w:rsidP="00963A00">
            <w:pPr>
              <w:pStyle w:val="ListParagraph"/>
              <w:numPr>
                <w:ilvl w:val="0"/>
                <w:numId w:val="5"/>
              </w:numPr>
              <w:ind w:left="317"/>
            </w:pPr>
            <w:r>
              <w:t>Salīdzina mitozi un mejozi.</w:t>
            </w:r>
          </w:p>
        </w:tc>
      </w:tr>
      <w:tr w:rsidR="00814DDC" w:rsidTr="00963A00">
        <w:tc>
          <w:tcPr>
            <w:tcW w:w="3510" w:type="dxa"/>
          </w:tcPr>
          <w:p w:rsidR="00814DDC" w:rsidRDefault="00963A00">
            <w:r>
              <w:t>Spermatoģenēze un ooģenēze</w:t>
            </w:r>
          </w:p>
        </w:tc>
        <w:tc>
          <w:tcPr>
            <w:tcW w:w="7371" w:type="dxa"/>
          </w:tcPr>
          <w:p w:rsidR="00963A00" w:rsidRDefault="00963A00" w:rsidP="00963A00">
            <w:pPr>
              <w:pStyle w:val="ListParagraph"/>
              <w:numPr>
                <w:ilvl w:val="0"/>
                <w:numId w:val="6"/>
              </w:numPr>
              <w:ind w:left="317"/>
            </w:pPr>
            <w:r>
              <w:t>Analizē spermatoģenēzes un ooģenēzes galvenos posmus un atšķirības, izmantojot shēmas.</w:t>
            </w:r>
          </w:p>
          <w:p w:rsidR="00814DDC" w:rsidRDefault="00963A00" w:rsidP="00963A00">
            <w:pPr>
              <w:pStyle w:val="ListParagraph"/>
              <w:numPr>
                <w:ilvl w:val="0"/>
                <w:numId w:val="6"/>
              </w:numPr>
              <w:ind w:left="317"/>
            </w:pPr>
            <w:r>
              <w:t>Secina par spermatoģenēzes un ooģenēzes nozīmi organismu vairošanās procesā.</w:t>
            </w:r>
          </w:p>
        </w:tc>
      </w:tr>
      <w:tr w:rsidR="00814DDC" w:rsidTr="00963A00">
        <w:tc>
          <w:tcPr>
            <w:tcW w:w="3510" w:type="dxa"/>
          </w:tcPr>
          <w:p w:rsidR="00814DDC" w:rsidRDefault="00963A00">
            <w:r>
              <w:t>Vides ietekme uz šūnu dalīšanos</w:t>
            </w:r>
          </w:p>
        </w:tc>
        <w:tc>
          <w:tcPr>
            <w:tcW w:w="7371" w:type="dxa"/>
          </w:tcPr>
          <w:p w:rsidR="00814DDC" w:rsidRDefault="00963A00" w:rsidP="00963A00">
            <w:pPr>
              <w:pStyle w:val="ListParagraph"/>
              <w:numPr>
                <w:ilvl w:val="0"/>
                <w:numId w:val="7"/>
              </w:numPr>
              <w:ind w:left="317"/>
            </w:pPr>
            <w:r>
              <w:t>Pamato vides faktoru lomu slimību izcelsmē, kas saistītas ar šūnu dalīšanos un dzimumšūnu attīstību.</w:t>
            </w:r>
          </w:p>
          <w:p w:rsidR="00963A00" w:rsidRDefault="00963A00" w:rsidP="00963A00">
            <w:pPr>
              <w:pStyle w:val="ListParagraph"/>
              <w:numPr>
                <w:ilvl w:val="0"/>
                <w:numId w:val="7"/>
              </w:numPr>
              <w:ind w:left="317"/>
            </w:pPr>
            <w:r>
              <w:t>Izvērtē ļaundabīgo audzēju agrīnās diagnosticēšanas nepieciešamību.</w:t>
            </w:r>
          </w:p>
        </w:tc>
      </w:tr>
    </w:tbl>
    <w:p w:rsidR="00814DDC" w:rsidRDefault="00814DDC"/>
    <w:p w:rsidR="00814DDC" w:rsidRDefault="00130925" w:rsidP="00814DDC">
      <w:pPr>
        <w:rPr>
          <w:b/>
        </w:rPr>
      </w:pPr>
      <w:r w:rsidRPr="00234B5F">
        <w:rPr>
          <w:b/>
        </w:rPr>
        <w:t>Izmantotās metodes</w:t>
      </w:r>
    </w:p>
    <w:p w:rsidR="00190A7D" w:rsidRDefault="00190A7D" w:rsidP="00234B5F">
      <w:pPr>
        <w:ind w:firstLine="720"/>
        <w:jc w:val="both"/>
      </w:pPr>
      <w:r w:rsidRPr="00190A7D">
        <w:t>Tēmas apguves laikā</w:t>
      </w:r>
      <w:r>
        <w:t xml:space="preserve"> stundās tika izmantotas daudzveidīgas metodes, </w:t>
      </w:r>
      <w:r w:rsidR="00234B5F">
        <w:t>tās piemērojot</w:t>
      </w:r>
      <w:r>
        <w:t xml:space="preserve"> gan apgūstamajai tēmai, gan konkrētajam klases kolektīvam</w:t>
      </w:r>
      <w:r w:rsidR="00234B5F">
        <w:t xml:space="preserve">, piemēram, </w:t>
      </w:r>
      <w:r w:rsidR="000D5E01">
        <w:t xml:space="preserve">situāciju analīze, skaidrošana, </w:t>
      </w:r>
      <w:r w:rsidR="00234B5F">
        <w:t>jautājumi un atbildes, grupu/pāru darbs, laboratorijas darbs, darbs ar tekstu, prāta vētra, diskusija u.c.</w:t>
      </w:r>
    </w:p>
    <w:p w:rsidR="00234B5F" w:rsidRPr="00190A7D" w:rsidRDefault="00234B5F" w:rsidP="00234B5F">
      <w:pPr>
        <w:ind w:firstLine="720"/>
        <w:jc w:val="both"/>
      </w:pPr>
      <w:r>
        <w:t>Stundās skolēniem tika piedāvāta arī diferencēta pieeja – iespēja izvēlēties pildāmā uzdevuma grūtības pakāpi (pēc SOLO taksonomijas), saņemamo atbalstu uzdevumu veikšanai (piemēram, plāns uzdevuma pildīšanai; jautājumi, kas var palīdzēt tikt līdz pareizajai atbildei; uzdevuma risinājuma piemēri).</w:t>
      </w:r>
    </w:p>
    <w:p w:rsidR="003640D8" w:rsidRDefault="003640D8" w:rsidP="00814DDC">
      <w:pPr>
        <w:rPr>
          <w:b/>
        </w:rPr>
      </w:pPr>
    </w:p>
    <w:p w:rsidR="00130925" w:rsidRDefault="00130925" w:rsidP="00814DDC">
      <w:pPr>
        <w:rPr>
          <w:b/>
        </w:rPr>
      </w:pPr>
    </w:p>
    <w:p w:rsidR="00130925" w:rsidRPr="00130925" w:rsidRDefault="00130925" w:rsidP="00814DDC">
      <w:pPr>
        <w:rPr>
          <w:b/>
        </w:rPr>
      </w:pPr>
      <w:r>
        <w:rPr>
          <w:b/>
        </w:rPr>
        <w:t>Izglītojamā izaugsmes mērījumu metodika</w:t>
      </w:r>
    </w:p>
    <w:p w:rsidR="00C760A1" w:rsidRDefault="00130925" w:rsidP="00130925">
      <w:pPr>
        <w:ind w:firstLine="567"/>
        <w:jc w:val="both"/>
      </w:pPr>
      <w:r>
        <w:t>“</w:t>
      </w:r>
      <w:r w:rsidR="003B2DE2">
        <w:t>Skolēnu progress notiek viņu galvās</w:t>
      </w:r>
      <w:r w:rsidR="00710AFB">
        <w:t>, ir tikai jāiemāca dažādas tehnikas un metodes, kuras izmantojot skolēni var sevi novērtēt un saprast, kurā punktā ceļā uz mērķi viņi atrodas</w:t>
      </w:r>
      <w:r>
        <w:t>.” (Claire Gadzby, 2012)</w:t>
      </w:r>
      <w:r w:rsidR="00710AFB">
        <w:t xml:space="preserve"> </w:t>
      </w:r>
    </w:p>
    <w:p w:rsidR="00710AFB" w:rsidRDefault="00C760A1" w:rsidP="00130925">
      <w:pPr>
        <w:ind w:firstLine="567"/>
        <w:jc w:val="both"/>
      </w:pPr>
      <w:r>
        <w:t>Skolēnu m</w:t>
      </w:r>
      <w:r w:rsidR="00710AFB">
        <w:t>ācīšanās progresa noteikšanai tiek izmantota formatīvā vērtēšana.</w:t>
      </w:r>
    </w:p>
    <w:p w:rsidR="00710AFB" w:rsidRDefault="00710AFB" w:rsidP="00130925">
      <w:pPr>
        <w:ind w:firstLine="567"/>
        <w:jc w:val="both"/>
      </w:pPr>
      <w:r>
        <w:t xml:space="preserve">Formatīvā vērtēšana ir vērtēšana, kas palīdz saprast, cik tālu skolēni tikuši ceļā uz mērķi, kas vēl jādara un kā to vislabāk izdarīt. Formatīvās vērtēšanas </w:t>
      </w:r>
      <w:r w:rsidR="00E10D6B">
        <w:t>pamatā ir vairākas aktivitātes, kas jānodrošina, lai skolēni kļūtu neatkarīgi savā mācīšanās procesā un spētu novērtēt savu progresu:</w:t>
      </w:r>
    </w:p>
    <w:p w:rsidR="00710AFB" w:rsidRDefault="00710AFB" w:rsidP="00710AFB">
      <w:pPr>
        <w:pStyle w:val="ListParagraph"/>
        <w:numPr>
          <w:ilvl w:val="0"/>
          <w:numId w:val="8"/>
        </w:numPr>
      </w:pPr>
      <w:r>
        <w:t>skaidri stundas SR un snieguma kritēriji;</w:t>
      </w:r>
    </w:p>
    <w:p w:rsidR="00710AFB" w:rsidRDefault="00E10D6B" w:rsidP="00710AFB">
      <w:pPr>
        <w:pStyle w:val="ListParagraph"/>
        <w:numPr>
          <w:ilvl w:val="0"/>
          <w:numId w:val="8"/>
        </w:numPr>
      </w:pPr>
      <w:r>
        <w:lastRenderedPageBreak/>
        <w:t>efektīva skolēnu sarunu organizēšana;</w:t>
      </w:r>
    </w:p>
    <w:p w:rsidR="00E10D6B" w:rsidRDefault="00E10D6B" w:rsidP="00710AFB">
      <w:pPr>
        <w:pStyle w:val="ListParagraph"/>
        <w:numPr>
          <w:ilvl w:val="0"/>
          <w:numId w:val="8"/>
        </w:numPr>
      </w:pPr>
      <w:r>
        <w:t>atgriezeniskā saite par notikušo stundā;</w:t>
      </w:r>
    </w:p>
    <w:p w:rsidR="00E10D6B" w:rsidRDefault="00E10D6B" w:rsidP="00710AFB">
      <w:pPr>
        <w:pStyle w:val="ListParagraph"/>
        <w:numPr>
          <w:ilvl w:val="0"/>
          <w:numId w:val="8"/>
        </w:numPr>
      </w:pPr>
      <w:r>
        <w:t>skolēnu iesaistīšana vērtēšanas procesā.</w:t>
      </w:r>
    </w:p>
    <w:p w:rsidR="00130925" w:rsidRDefault="00130925" w:rsidP="00130925">
      <w:pPr>
        <w:ind w:firstLine="567"/>
        <w:jc w:val="both"/>
      </w:pPr>
      <w:r>
        <w:t>Katrā tēmā, arī tēmā “Šūnu dalīšanās” 11.klasei katru stundu skolēniem tiek komunicēts stundas sasniedzamais rezultāts. Atbilstoši katras stundas tēmai tiek organizētas skolēnu sarunas pāros vai grupās, kas veicina skolēnu izpratni, prasmju apgūšanu un arī savstarpējo vērtēšanu, lai uzlabotu mācīšanos.</w:t>
      </w:r>
    </w:p>
    <w:p w:rsidR="00B863A8" w:rsidRDefault="00C760A1" w:rsidP="00130925">
      <w:pPr>
        <w:ind w:firstLine="567"/>
        <w:jc w:val="both"/>
      </w:pPr>
      <w:r>
        <w:t>Papildus notiekošajam stundās skolēniem tika piedāvāta iespēja sekot savai izaugsmei, izmantojot tabulu (4.pielikums), kurā katras stundas noslēgumā skolēni patstāvīgi ieraksta atbildes uz trīs formatīvās vērtēšanas pamatjautājumiem:</w:t>
      </w:r>
    </w:p>
    <w:p w:rsidR="00C760A1" w:rsidRDefault="00C760A1" w:rsidP="00C760A1">
      <w:pPr>
        <w:pStyle w:val="ListParagraph"/>
        <w:numPr>
          <w:ilvl w:val="0"/>
          <w:numId w:val="8"/>
        </w:numPr>
        <w:jc w:val="both"/>
      </w:pPr>
      <w:r>
        <w:t>ko es stundā iemācījos;</w:t>
      </w:r>
    </w:p>
    <w:p w:rsidR="00C760A1" w:rsidRDefault="00C760A1" w:rsidP="00C760A1">
      <w:pPr>
        <w:pStyle w:val="ListParagraph"/>
        <w:numPr>
          <w:ilvl w:val="0"/>
          <w:numId w:val="8"/>
        </w:numPr>
        <w:jc w:val="both"/>
      </w:pPr>
      <w:r>
        <w:t>kas man vēl jāmācās (ko nesapratu, nepaspēju, vēl nevaru izdarīt);</w:t>
      </w:r>
    </w:p>
    <w:p w:rsidR="00C760A1" w:rsidRDefault="00C760A1" w:rsidP="00C760A1">
      <w:pPr>
        <w:pStyle w:val="ListParagraph"/>
        <w:numPr>
          <w:ilvl w:val="0"/>
          <w:numId w:val="8"/>
        </w:numPr>
        <w:jc w:val="both"/>
      </w:pPr>
      <w:r>
        <w:t>ko darīt tālāk (pēc iespējas konkrētāk, piemēram: izlasīt grāmatā 139.-141.lpp; izpildīt vēl divus uzdevumus par mitozi; aiziet uz konsultāciju piektdien, lai saprastu kā atšķiras mejoze no mitozes utt.).</w:t>
      </w:r>
    </w:p>
    <w:p w:rsidR="00C760A1" w:rsidRDefault="00190A7D" w:rsidP="00190A7D">
      <w:pPr>
        <w:ind w:firstLine="360"/>
        <w:jc w:val="both"/>
      </w:pPr>
      <w:r>
        <w:t>Tēmas noslēgumā, aptaujājot skolēnus par ieguvumiem, ja tiek regulāri aizpildīta izaugsmes tabula, izskanēja secinājums: “</w:t>
      </w:r>
      <w:r w:rsidR="00C760A1">
        <w:t>Regulāra atbilžu ierakstīšana tabulā ļauj sekot sava</w:t>
      </w:r>
      <w:r>
        <w:t>i izaugsmei un</w:t>
      </w:r>
      <w:r w:rsidR="00C760A1">
        <w:t xml:space="preserve"> skaidri saprast, kas vēl jāmācās, dod iespēju labāk un laicīgāk saga</w:t>
      </w:r>
      <w:r>
        <w:t>tavoties tēmas noslēguma darbam”.</w:t>
      </w:r>
    </w:p>
    <w:p w:rsidR="00234B5F" w:rsidRPr="00234B5F" w:rsidRDefault="00190A7D" w:rsidP="00234B5F">
      <w:pPr>
        <w:ind w:firstLine="567"/>
        <w:jc w:val="both"/>
      </w:pPr>
      <w:r>
        <w:t>Skolēniem tēmas laikā savu zināšanu pārbaudei klasē pie sienām tika izvietoti arī uzdevumi par šūnu dalīšanos, uzdevumus piedāvājot visos SOLO taksonomijas līmeņos. Uzdevumu atbildes bija pieejamas elektroniski koplietošanas dokumentā.</w:t>
      </w:r>
    </w:p>
    <w:p w:rsidR="00C760A1" w:rsidRDefault="00C760A1">
      <w:pPr>
        <w:rPr>
          <w:b/>
        </w:rPr>
      </w:pPr>
      <w:r>
        <w:rPr>
          <w:b/>
        </w:rPr>
        <w:br w:type="page"/>
      </w:r>
    </w:p>
    <w:p w:rsidR="00B863A8" w:rsidRDefault="003D2B03" w:rsidP="003640D8">
      <w:pPr>
        <w:jc w:val="center"/>
        <w:rPr>
          <w:b/>
        </w:rPr>
      </w:pPr>
      <w:r>
        <w:rPr>
          <w:b/>
        </w:rPr>
        <w:lastRenderedPageBreak/>
        <w:t>Plāns stundai, kas demonstrēta</w:t>
      </w:r>
      <w:r w:rsidR="003640D8">
        <w:rPr>
          <w:b/>
        </w:rPr>
        <w:t xml:space="preserve"> konkursā “Laiks iespējām”</w:t>
      </w:r>
    </w:p>
    <w:p w:rsidR="003D2B03" w:rsidRPr="003D2B03" w:rsidRDefault="003D2B03" w:rsidP="00B863A8">
      <w:pPr>
        <w:rPr>
          <w:b/>
          <w:sz w:val="16"/>
        </w:rPr>
      </w:pPr>
    </w:p>
    <w:p w:rsidR="00B863A8" w:rsidRPr="00386342" w:rsidRDefault="00B863A8" w:rsidP="00B863A8">
      <w:pPr>
        <w:rPr>
          <w:b/>
        </w:rPr>
      </w:pPr>
      <w:r w:rsidRPr="00386342">
        <w:rPr>
          <w:b/>
        </w:rPr>
        <w:t xml:space="preserve">Mācību priekšmets: </w:t>
      </w:r>
      <w:r>
        <w:rPr>
          <w:b/>
        </w:rPr>
        <w:t>Bioloģija</w:t>
      </w:r>
    </w:p>
    <w:p w:rsidR="00B863A8" w:rsidRPr="00386342" w:rsidRDefault="00B863A8" w:rsidP="00B863A8">
      <w:pPr>
        <w:rPr>
          <w:b/>
        </w:rPr>
      </w:pPr>
      <w:r w:rsidRPr="00386342">
        <w:rPr>
          <w:b/>
        </w:rPr>
        <w:t xml:space="preserve">Klase: </w:t>
      </w:r>
      <w:r>
        <w:rPr>
          <w:b/>
        </w:rPr>
        <w:t>11.</w:t>
      </w:r>
    </w:p>
    <w:p w:rsidR="00B863A8" w:rsidRPr="00386342" w:rsidRDefault="00B863A8" w:rsidP="00B863A8">
      <w:pPr>
        <w:jc w:val="both"/>
        <w:rPr>
          <w:b/>
        </w:rPr>
      </w:pPr>
      <w:r>
        <w:rPr>
          <w:b/>
        </w:rPr>
        <w:t>Tēma</w:t>
      </w:r>
      <w:r w:rsidRPr="00386342">
        <w:rPr>
          <w:b/>
        </w:rPr>
        <w:t xml:space="preserve">: </w:t>
      </w:r>
      <w:r>
        <w:rPr>
          <w:b/>
        </w:rPr>
        <w:t>LD Šūnu dzīves cikla izpēte sīpola sakņu veidotājaudos</w:t>
      </w:r>
    </w:p>
    <w:p w:rsidR="00B863A8" w:rsidRPr="00386342" w:rsidRDefault="00B863A8" w:rsidP="00B863A8">
      <w:pPr>
        <w:jc w:val="both"/>
        <w:rPr>
          <w:b/>
        </w:rPr>
      </w:pPr>
      <w:r>
        <w:rPr>
          <w:b/>
        </w:rPr>
        <w:t xml:space="preserve">Stundas plānu </w:t>
      </w:r>
      <w:r w:rsidRPr="00386342">
        <w:rPr>
          <w:b/>
        </w:rPr>
        <w:t>veidoja:</w:t>
      </w:r>
      <w:r>
        <w:rPr>
          <w:b/>
        </w:rPr>
        <w:t xml:space="preserve"> Liene Sabule</w:t>
      </w:r>
    </w:p>
    <w:p w:rsidR="00B863A8" w:rsidRPr="003D2B03" w:rsidRDefault="00B863A8" w:rsidP="00B863A8">
      <w:pPr>
        <w:rPr>
          <w:b/>
          <w:sz w:val="14"/>
          <w:szCs w:val="28"/>
        </w:rPr>
      </w:pPr>
    </w:p>
    <w:p w:rsidR="00B863A8" w:rsidRDefault="00B863A8" w:rsidP="00B863A8">
      <w:pPr>
        <w:rPr>
          <w:b/>
        </w:rPr>
      </w:pPr>
      <w:r w:rsidRPr="00A8528D">
        <w:rPr>
          <w:b/>
        </w:rPr>
        <w:t>Iepriekšējās zināšanas un prasmes</w:t>
      </w:r>
      <w:r>
        <w:rPr>
          <w:b/>
        </w:rPr>
        <w:t xml:space="preserve">: </w:t>
      </w:r>
      <w:r w:rsidRPr="004579BD">
        <w:t>prasme strādāt ar mikrosk</w:t>
      </w:r>
      <w:r>
        <w:t>opu, zina mitozes stadiju nosaukumus, atšķir tās vienu no otras, rēķina izmantojot procentus  (%).</w:t>
      </w:r>
    </w:p>
    <w:p w:rsidR="00B863A8" w:rsidRPr="003D2B03" w:rsidRDefault="00B863A8" w:rsidP="00B863A8">
      <w:pPr>
        <w:rPr>
          <w:b/>
          <w:sz w:val="14"/>
        </w:rPr>
      </w:pPr>
    </w:p>
    <w:tbl>
      <w:tblPr>
        <w:tblStyle w:val="TableGrid"/>
        <w:tblW w:w="1034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84"/>
        <w:gridCol w:w="7796"/>
      </w:tblGrid>
      <w:tr w:rsidR="00B863A8" w:rsidTr="00B863A8">
        <w:tc>
          <w:tcPr>
            <w:tcW w:w="2269" w:type="dxa"/>
            <w:tcBorders>
              <w:top w:val="single" w:sz="4" w:space="0" w:color="auto"/>
              <w:left w:val="single" w:sz="4" w:space="0" w:color="auto"/>
              <w:bottom w:val="single" w:sz="4" w:space="0" w:color="auto"/>
              <w:right w:val="single" w:sz="4" w:space="0" w:color="auto"/>
            </w:tcBorders>
          </w:tcPr>
          <w:p w:rsidR="00B863A8" w:rsidRPr="00FD6375" w:rsidRDefault="00B863A8" w:rsidP="008A4D8D">
            <w:pPr>
              <w:jc w:val="center"/>
              <w:rPr>
                <w:b/>
              </w:rPr>
            </w:pPr>
            <w:r w:rsidRPr="00FD6375">
              <w:rPr>
                <w:b/>
              </w:rPr>
              <w:t>Plānotais skolēnam sasniedzamais rezultāts</w:t>
            </w:r>
          </w:p>
        </w:tc>
        <w:tc>
          <w:tcPr>
            <w:tcW w:w="284" w:type="dxa"/>
            <w:tcBorders>
              <w:left w:val="single" w:sz="4" w:space="0" w:color="auto"/>
              <w:right w:val="single" w:sz="4" w:space="0" w:color="auto"/>
            </w:tcBorders>
          </w:tcPr>
          <w:p w:rsidR="00B863A8" w:rsidRDefault="00B863A8" w:rsidP="008A4D8D"/>
        </w:tc>
        <w:tc>
          <w:tcPr>
            <w:tcW w:w="7796" w:type="dxa"/>
            <w:tcBorders>
              <w:top w:val="single" w:sz="4" w:space="0" w:color="auto"/>
              <w:left w:val="single" w:sz="4" w:space="0" w:color="auto"/>
              <w:bottom w:val="single" w:sz="4" w:space="0" w:color="auto"/>
              <w:right w:val="single" w:sz="4" w:space="0" w:color="auto"/>
            </w:tcBorders>
          </w:tcPr>
          <w:p w:rsidR="00B863A8" w:rsidRDefault="00B863A8" w:rsidP="00B863A8">
            <w:pPr>
              <w:numPr>
                <w:ilvl w:val="0"/>
                <w:numId w:val="9"/>
              </w:numPr>
            </w:pPr>
            <w:r>
              <w:t xml:space="preserve"> Saskata mitozes stadijas sīpola šūnu mikropreparātos.</w:t>
            </w:r>
          </w:p>
          <w:p w:rsidR="00B863A8" w:rsidRDefault="00B863A8" w:rsidP="00B863A8">
            <w:pPr>
              <w:numPr>
                <w:ilvl w:val="0"/>
                <w:numId w:val="9"/>
              </w:numPr>
            </w:pPr>
            <w:r>
              <w:t>Aprēķina mitozes stadiju ilgumu sīpola šūnās.</w:t>
            </w:r>
          </w:p>
          <w:p w:rsidR="00B863A8" w:rsidRDefault="00B863A8" w:rsidP="008A4D8D"/>
        </w:tc>
      </w:tr>
    </w:tbl>
    <w:p w:rsidR="00B863A8" w:rsidRPr="003D2B03" w:rsidRDefault="00B863A8" w:rsidP="00B863A8">
      <w:pPr>
        <w:rPr>
          <w:b/>
          <w:sz w:val="12"/>
        </w:rPr>
      </w:pPr>
    </w:p>
    <w:p w:rsidR="00B863A8" w:rsidRDefault="00B863A8" w:rsidP="00B863A8">
      <w:pPr>
        <w:rPr>
          <w:b/>
        </w:rPr>
      </w:pPr>
      <w:r>
        <w:rPr>
          <w:b/>
        </w:rPr>
        <w:t xml:space="preserve">Nodarbības gaita: </w:t>
      </w:r>
    </w:p>
    <w:p w:rsidR="00B863A8" w:rsidRPr="00A6177F" w:rsidRDefault="00B863A8" w:rsidP="00B863A8">
      <w:pPr>
        <w:rPr>
          <w:b/>
          <w:sz w:val="12"/>
          <w:szCs w:val="12"/>
        </w:rPr>
      </w:pPr>
    </w:p>
    <w:tbl>
      <w:tblPr>
        <w:tblStyle w:val="TableGrid"/>
        <w:tblW w:w="1034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83"/>
        <w:gridCol w:w="7703"/>
      </w:tblGrid>
      <w:tr w:rsidR="00B863A8" w:rsidTr="00B863A8">
        <w:tc>
          <w:tcPr>
            <w:tcW w:w="2363" w:type="dxa"/>
            <w:tcBorders>
              <w:top w:val="single" w:sz="4" w:space="0" w:color="auto"/>
              <w:left w:val="single" w:sz="4" w:space="0" w:color="auto"/>
              <w:bottom w:val="single" w:sz="4" w:space="0" w:color="auto"/>
              <w:right w:val="single" w:sz="4" w:space="0" w:color="auto"/>
            </w:tcBorders>
          </w:tcPr>
          <w:p w:rsidR="00B863A8" w:rsidRDefault="003D2B03" w:rsidP="003D2B03">
            <w:r>
              <w:rPr>
                <w:b/>
                <w:bCs/>
              </w:rPr>
              <w:t>Aktualizācija</w:t>
            </w:r>
            <w:r w:rsidR="00B863A8">
              <w:rPr>
                <w:b/>
                <w:bCs/>
              </w:rPr>
              <w:t xml:space="preserve"> un iepriekšējo zināšanu atkārtošana</w:t>
            </w:r>
          </w:p>
        </w:tc>
        <w:tc>
          <w:tcPr>
            <w:tcW w:w="283" w:type="dxa"/>
            <w:tcBorders>
              <w:left w:val="single" w:sz="4" w:space="0" w:color="auto"/>
              <w:right w:val="single" w:sz="4" w:space="0" w:color="auto"/>
            </w:tcBorders>
          </w:tcPr>
          <w:p w:rsidR="00B863A8" w:rsidRDefault="00B863A8" w:rsidP="008A4D8D"/>
        </w:tc>
        <w:tc>
          <w:tcPr>
            <w:tcW w:w="7703" w:type="dxa"/>
            <w:tcBorders>
              <w:top w:val="single" w:sz="4" w:space="0" w:color="auto"/>
              <w:left w:val="single" w:sz="4" w:space="0" w:color="auto"/>
              <w:bottom w:val="single" w:sz="4" w:space="0" w:color="auto"/>
              <w:right w:val="single" w:sz="4" w:space="0" w:color="auto"/>
            </w:tcBorders>
          </w:tcPr>
          <w:p w:rsidR="00B863A8" w:rsidRDefault="00B863A8" w:rsidP="008A4D8D">
            <w:r>
              <w:t>Skolēniem stundas sākumā uz ekrāna demonstrē mitozes stadiju attēlus (PPT 1.slīds, 3.pielikums) – jānosaka, kāda stadija katrā attēlā redzama un jāpamato, kāpēc. Pēc īsās sarunas par katrai stadijai raksturīgo, skolēnus aicina prognozēt, kāda varētu būt šīs stundas tēma un stundas sasniedzamie rezultāti (SR), redzot uz galdiem mikroskopus.</w:t>
            </w:r>
          </w:p>
          <w:p w:rsidR="00B863A8" w:rsidRDefault="00B863A8" w:rsidP="008A4D8D">
            <w:r>
              <w:t>Pēc skolēnu prognozēm demonstrē stundas SR (PPT 2.slīds, 3.pielikums) un īsi pārrunā, kā saprot katru no tiem un cik tuvu tie ir izskanējušām prognozēm.</w:t>
            </w:r>
          </w:p>
        </w:tc>
      </w:tr>
      <w:tr w:rsidR="00B863A8" w:rsidTr="00B863A8">
        <w:tc>
          <w:tcPr>
            <w:tcW w:w="2363" w:type="dxa"/>
            <w:tcBorders>
              <w:top w:val="single" w:sz="4" w:space="0" w:color="auto"/>
              <w:bottom w:val="single" w:sz="4" w:space="0" w:color="auto"/>
            </w:tcBorders>
          </w:tcPr>
          <w:p w:rsidR="00B863A8" w:rsidRDefault="00B863A8" w:rsidP="008A4D8D"/>
        </w:tc>
        <w:tc>
          <w:tcPr>
            <w:tcW w:w="283" w:type="dxa"/>
          </w:tcPr>
          <w:p w:rsidR="00B863A8" w:rsidRDefault="00B863A8" w:rsidP="008A4D8D"/>
        </w:tc>
        <w:tc>
          <w:tcPr>
            <w:tcW w:w="7703" w:type="dxa"/>
            <w:tcBorders>
              <w:top w:val="single" w:sz="4" w:space="0" w:color="auto"/>
              <w:bottom w:val="single" w:sz="4" w:space="0" w:color="auto"/>
            </w:tcBorders>
          </w:tcPr>
          <w:p w:rsidR="00B863A8" w:rsidRDefault="00B863A8" w:rsidP="008A4D8D"/>
        </w:tc>
      </w:tr>
      <w:tr w:rsidR="00B863A8" w:rsidTr="00B863A8">
        <w:tc>
          <w:tcPr>
            <w:tcW w:w="2363" w:type="dxa"/>
            <w:tcBorders>
              <w:top w:val="single" w:sz="4" w:space="0" w:color="auto"/>
              <w:left w:val="single" w:sz="4" w:space="0" w:color="auto"/>
              <w:bottom w:val="single" w:sz="4" w:space="0" w:color="auto"/>
              <w:right w:val="single" w:sz="4" w:space="0" w:color="auto"/>
            </w:tcBorders>
          </w:tcPr>
          <w:p w:rsidR="00B863A8" w:rsidRDefault="00B863A8" w:rsidP="008A4D8D">
            <w:pPr>
              <w:rPr>
                <w:b/>
              </w:rPr>
            </w:pPr>
            <w:r>
              <w:rPr>
                <w:b/>
              </w:rPr>
              <w:t xml:space="preserve">Aktivitātes SR sasniegšanai </w:t>
            </w:r>
          </w:p>
          <w:p w:rsidR="00B863A8" w:rsidRPr="0035450B" w:rsidRDefault="00B863A8" w:rsidP="008A4D8D">
            <w:pPr>
              <w:rPr>
                <w:b/>
              </w:rPr>
            </w:pPr>
          </w:p>
        </w:tc>
        <w:tc>
          <w:tcPr>
            <w:tcW w:w="283" w:type="dxa"/>
            <w:tcBorders>
              <w:left w:val="single" w:sz="4" w:space="0" w:color="auto"/>
              <w:right w:val="single" w:sz="4" w:space="0" w:color="auto"/>
            </w:tcBorders>
          </w:tcPr>
          <w:p w:rsidR="00B863A8" w:rsidRDefault="00B863A8" w:rsidP="008A4D8D"/>
        </w:tc>
        <w:tc>
          <w:tcPr>
            <w:tcW w:w="7703" w:type="dxa"/>
            <w:tcBorders>
              <w:top w:val="single" w:sz="4" w:space="0" w:color="auto"/>
              <w:left w:val="single" w:sz="4" w:space="0" w:color="auto"/>
              <w:bottom w:val="single" w:sz="4" w:space="0" w:color="auto"/>
              <w:right w:val="single" w:sz="4" w:space="0" w:color="auto"/>
            </w:tcBorders>
          </w:tcPr>
          <w:p w:rsidR="00B863A8" w:rsidRDefault="00B863A8" w:rsidP="008A4D8D">
            <w:pPr>
              <w:spacing w:line="259" w:lineRule="auto"/>
            </w:pPr>
            <w:r>
              <w:t>Skolēniem izdala laboratorijas darba (LD) instrukciju darba lapas (1.pielikums) un aicina individuāli iepazīties ar LD darba uzdevumu, pieejamo darba piederumu sarakstu un darba gaitu. Kad skolēni izlasījuši, aicina pāros pārrunāt izlasīto un uzdot neskaidros jautājumus, tos kopīgi pārrunā. Lai pārliecinātos, ka skolēniem skaidrs, kas jādara, aicina kādu skolēnu saviem vārdiem izstāstīt, kas būs jādara, pievēršot uzmanību atsevišķām darbībām.</w:t>
            </w:r>
          </w:p>
          <w:p w:rsidR="00B863A8" w:rsidRDefault="00B863A8" w:rsidP="008A4D8D">
            <w:pPr>
              <w:spacing w:line="259" w:lineRule="auto"/>
            </w:pPr>
            <w:r>
              <w:t xml:space="preserve">Pēc tam demonstrē sīpola saknes mikropreparāta fotogrāfiju (PPT 3.slīds, 3.pielikums), kas iegūta pie palielinājuma 40X un jautā, vai šajā palielinājumā var atšķirt mitozes stadijas katrā šūnā, kāpēc? Tad demonstrē attēlu ar šūnām 100x palielinājumā un aicina nosaukt, kādas mitozes stadijas redzamas. Demonstrē, kā aizpildāma tabula (PPT 4.slīds, 3.pielikums) par novērotajām mitozes stadijām dažādās šūnās. Informē skolēnus par pieejamo atbalstu darba veikšanā (PPT 5.slīds, 3.pielikums), ja nepieciešams, var izmantot aprēķina piemēru (2.pielikums) rezultātu iegūšanai un skolēnu iepriekšējā stundā veidoto tabulu ar mitozes stadiju raksturojumu un zīmējumiem. </w:t>
            </w:r>
          </w:p>
          <w:p w:rsidR="00B863A8" w:rsidRPr="00183D5E" w:rsidRDefault="00B863A8" w:rsidP="008A4D8D">
            <w:pPr>
              <w:spacing w:line="259" w:lineRule="auto"/>
            </w:pPr>
            <w:r>
              <w:t>Skolēniem dod laiku darba izpildei 20 min un aicina uzsākt darbu. Ja nepieciešams, konsultē skolēnus, atbild uz skolēnu jautājumiem. Seko skolēnu darbam, atgādina par atlikušo laiku darba veikšanai, motivē strādāt, vēro skolēnu darbības un labo, ja nepieciešams. Skolēnus, kas darbu paveikuši ātrāk, aicina salīdzināt un izvērtēt atbildes darba lapā ar citu skolēnu pāri, kas veicis rezultātu izvērtēšanu un analīzi.</w:t>
            </w:r>
          </w:p>
        </w:tc>
      </w:tr>
      <w:tr w:rsidR="00B863A8" w:rsidTr="00B863A8">
        <w:tc>
          <w:tcPr>
            <w:tcW w:w="2363" w:type="dxa"/>
            <w:tcBorders>
              <w:top w:val="single" w:sz="4" w:space="0" w:color="auto"/>
              <w:bottom w:val="single" w:sz="4" w:space="0" w:color="auto"/>
            </w:tcBorders>
          </w:tcPr>
          <w:p w:rsidR="00B863A8" w:rsidRDefault="00B863A8" w:rsidP="008A4D8D"/>
        </w:tc>
        <w:tc>
          <w:tcPr>
            <w:tcW w:w="283" w:type="dxa"/>
          </w:tcPr>
          <w:p w:rsidR="00B863A8" w:rsidRDefault="00B863A8" w:rsidP="008A4D8D"/>
        </w:tc>
        <w:tc>
          <w:tcPr>
            <w:tcW w:w="7703" w:type="dxa"/>
            <w:tcBorders>
              <w:top w:val="single" w:sz="4" w:space="0" w:color="auto"/>
              <w:bottom w:val="single" w:sz="4" w:space="0" w:color="auto"/>
            </w:tcBorders>
          </w:tcPr>
          <w:p w:rsidR="00B863A8" w:rsidRDefault="00B863A8" w:rsidP="008A4D8D"/>
        </w:tc>
      </w:tr>
      <w:tr w:rsidR="00B863A8" w:rsidTr="00B863A8">
        <w:tc>
          <w:tcPr>
            <w:tcW w:w="2363" w:type="dxa"/>
            <w:tcBorders>
              <w:top w:val="single" w:sz="4" w:space="0" w:color="auto"/>
              <w:left w:val="single" w:sz="4" w:space="0" w:color="auto"/>
              <w:bottom w:val="single" w:sz="4" w:space="0" w:color="auto"/>
              <w:right w:val="single" w:sz="4" w:space="0" w:color="auto"/>
            </w:tcBorders>
          </w:tcPr>
          <w:p w:rsidR="00B863A8" w:rsidRPr="0035450B" w:rsidRDefault="00B863A8" w:rsidP="008A4D8D">
            <w:pPr>
              <w:jc w:val="center"/>
              <w:rPr>
                <w:b/>
              </w:rPr>
            </w:pPr>
            <w:r>
              <w:rPr>
                <w:b/>
              </w:rPr>
              <w:t>Atgriezeniskā saite</w:t>
            </w:r>
          </w:p>
        </w:tc>
        <w:tc>
          <w:tcPr>
            <w:tcW w:w="283" w:type="dxa"/>
            <w:tcBorders>
              <w:left w:val="single" w:sz="4" w:space="0" w:color="auto"/>
              <w:right w:val="single" w:sz="4" w:space="0" w:color="auto"/>
            </w:tcBorders>
          </w:tcPr>
          <w:p w:rsidR="00B863A8" w:rsidRDefault="00B863A8" w:rsidP="008A4D8D"/>
        </w:tc>
        <w:tc>
          <w:tcPr>
            <w:tcW w:w="7703" w:type="dxa"/>
            <w:tcBorders>
              <w:top w:val="single" w:sz="4" w:space="0" w:color="auto"/>
              <w:left w:val="single" w:sz="4" w:space="0" w:color="auto"/>
              <w:bottom w:val="single" w:sz="4" w:space="0" w:color="auto"/>
              <w:right w:val="single" w:sz="4" w:space="0" w:color="auto"/>
            </w:tcBorders>
          </w:tcPr>
          <w:p w:rsidR="00B863A8" w:rsidRDefault="00B863A8" w:rsidP="008A4D8D">
            <w:r>
              <w:t>Kad skolēni darbu pabeiguši, kopīgi pārrunā 1. un 5.jautājuma (ja ir laiks, var pārrunāt arī pārējās atbildes) atbildes, pievēršot uzmanību iespējai izmantot dažādas domāšanas/risināšanas stratēģijas.</w:t>
            </w:r>
          </w:p>
          <w:p w:rsidR="00B863A8" w:rsidRPr="00183D5E" w:rsidRDefault="00B863A8" w:rsidP="008A4D8D">
            <w:r>
              <w:t>Tad aicina skolēnus pāros/grupās pa 4 sarunāties par stundā veiktā darba nozīmi – kur iegūtās zināšanas var izmantot praktiski.</w:t>
            </w:r>
          </w:p>
        </w:tc>
      </w:tr>
    </w:tbl>
    <w:p w:rsidR="00B863A8" w:rsidRDefault="00B863A8" w:rsidP="00B863A8">
      <w:pPr>
        <w:rPr>
          <w:rFonts w:ascii="ArialMT" w:hAnsi="ArialMT" w:cs="ArialMT"/>
          <w:sz w:val="18"/>
          <w:szCs w:val="18"/>
        </w:rPr>
      </w:pPr>
    </w:p>
    <w:p w:rsidR="00B863A8" w:rsidRPr="004579BD" w:rsidRDefault="00B863A8" w:rsidP="00B863A8">
      <w:pPr>
        <w:jc w:val="right"/>
        <w:rPr>
          <w:szCs w:val="18"/>
        </w:rPr>
      </w:pPr>
      <w:r>
        <w:rPr>
          <w:rFonts w:ascii="ArialMT" w:hAnsi="ArialMT" w:cs="ArialMT"/>
          <w:sz w:val="18"/>
          <w:szCs w:val="18"/>
        </w:rPr>
        <w:br w:type="page"/>
      </w:r>
      <w:r w:rsidRPr="004579BD">
        <w:rPr>
          <w:szCs w:val="18"/>
        </w:rPr>
        <w:lastRenderedPageBreak/>
        <w:t>1.pielikums.</w:t>
      </w:r>
    </w:p>
    <w:p w:rsidR="00B863A8" w:rsidRDefault="00B863A8" w:rsidP="00B863A8">
      <w:pPr>
        <w:jc w:val="right"/>
        <w:rPr>
          <w:szCs w:val="18"/>
        </w:rPr>
      </w:pPr>
      <w:r w:rsidRPr="004579BD">
        <w:rPr>
          <w:szCs w:val="18"/>
        </w:rPr>
        <w:t>Skolēna LD darba lapa</w:t>
      </w:r>
    </w:p>
    <w:p w:rsidR="00B863A8" w:rsidRPr="004579BD" w:rsidRDefault="00B863A8" w:rsidP="00B863A8">
      <w:pPr>
        <w:jc w:val="right"/>
        <w:rPr>
          <w:sz w:val="16"/>
          <w:szCs w:val="18"/>
        </w:rPr>
      </w:pPr>
    </w:p>
    <w:p w:rsidR="00B863A8" w:rsidRPr="004579BD" w:rsidRDefault="00B863A8" w:rsidP="00B863A8">
      <w:pPr>
        <w:jc w:val="center"/>
        <w:rPr>
          <w:rFonts w:ascii="Comic Sans MS" w:eastAsia="Times New Roman" w:hAnsi="Comic Sans MS"/>
          <w:b/>
        </w:rPr>
      </w:pPr>
      <w:r w:rsidRPr="004579BD">
        <w:rPr>
          <w:rFonts w:ascii="Comic Sans MS" w:eastAsia="Times New Roman" w:hAnsi="Comic Sans MS"/>
          <w:b/>
        </w:rPr>
        <w:t>LD ŠŪNU DZĪVES CIKLA IZPĒTE SĪPOLA SAKŅU VEIDOTĀJAUDOS</w:t>
      </w:r>
    </w:p>
    <w:p w:rsidR="00B863A8" w:rsidRPr="004579BD" w:rsidRDefault="00B863A8" w:rsidP="00B863A8">
      <w:pPr>
        <w:jc w:val="center"/>
        <w:rPr>
          <w:rFonts w:ascii="Comic Sans MS" w:eastAsia="Times New Roman" w:hAnsi="Comic Sans MS"/>
          <w:b/>
          <w:sz w:val="10"/>
        </w:rPr>
      </w:pPr>
    </w:p>
    <w:p w:rsidR="00B863A8" w:rsidRPr="004579BD" w:rsidRDefault="00B863A8" w:rsidP="00B863A8">
      <w:pPr>
        <w:jc w:val="both"/>
        <w:rPr>
          <w:rFonts w:ascii="Comic Sans MS" w:eastAsia="Times New Roman" w:hAnsi="Comic Sans MS"/>
          <w:b/>
        </w:rPr>
      </w:pPr>
      <w:r w:rsidRPr="004579BD">
        <w:rPr>
          <w:rFonts w:ascii="Comic Sans MS" w:eastAsia="Times New Roman" w:hAnsi="Comic Sans MS"/>
          <w:b/>
        </w:rPr>
        <w:t>Darba uzdevums</w:t>
      </w:r>
    </w:p>
    <w:p w:rsidR="00B863A8" w:rsidRPr="004579BD" w:rsidRDefault="00B863A8" w:rsidP="00B863A8">
      <w:pPr>
        <w:ind w:left="284"/>
        <w:jc w:val="both"/>
        <w:rPr>
          <w:rFonts w:ascii="Comic Sans MS" w:eastAsia="Times New Roman" w:hAnsi="Comic Sans MS"/>
          <w:iCs/>
        </w:rPr>
      </w:pPr>
      <w:r w:rsidRPr="004579BD">
        <w:rPr>
          <w:rFonts w:ascii="Comic Sans MS" w:eastAsia="Times New Roman" w:hAnsi="Comic Sans MS"/>
          <w:iCs/>
        </w:rPr>
        <w:t xml:space="preserve"> Noteikt, kāds ir šūnas dzīves cikla stadiju ilgums sīpola sakņu veidotājaudu šūnās?</w:t>
      </w:r>
    </w:p>
    <w:p w:rsidR="00B863A8" w:rsidRPr="004579BD" w:rsidRDefault="00B863A8" w:rsidP="00B863A8">
      <w:pPr>
        <w:ind w:left="360"/>
        <w:jc w:val="both"/>
        <w:rPr>
          <w:rFonts w:ascii="Comic Sans MS" w:eastAsia="Times New Roman" w:hAnsi="Comic Sans MS"/>
          <w:i/>
          <w:iCs/>
          <w:color w:val="FF0000"/>
          <w:sz w:val="8"/>
        </w:rPr>
      </w:pPr>
    </w:p>
    <w:p w:rsidR="00B863A8" w:rsidRPr="004579BD" w:rsidRDefault="00B863A8" w:rsidP="00B863A8">
      <w:pPr>
        <w:keepNext/>
        <w:jc w:val="both"/>
        <w:outlineLvl w:val="0"/>
        <w:rPr>
          <w:rFonts w:ascii="Comic Sans MS" w:eastAsia="Times New Roman" w:hAnsi="Comic Sans MS"/>
          <w:b/>
          <w:bCs/>
          <w:lang w:eastAsia="lv-LV"/>
        </w:rPr>
      </w:pPr>
      <w:r w:rsidRPr="004579BD">
        <w:rPr>
          <w:rFonts w:ascii="Comic Sans MS" w:eastAsia="Times New Roman" w:hAnsi="Comic Sans MS"/>
          <w:b/>
          <w:bCs/>
          <w:lang w:eastAsia="lv-LV"/>
        </w:rPr>
        <w:t xml:space="preserve">Darba piederumi </w:t>
      </w:r>
    </w:p>
    <w:p w:rsidR="00B863A8" w:rsidRPr="004579BD" w:rsidRDefault="00B863A8" w:rsidP="00B863A8">
      <w:pPr>
        <w:ind w:left="284"/>
        <w:jc w:val="both"/>
        <w:rPr>
          <w:rFonts w:ascii="Comic Sans MS" w:eastAsia="Times New Roman" w:hAnsi="Comic Sans MS"/>
        </w:rPr>
      </w:pPr>
      <w:r w:rsidRPr="004579BD">
        <w:rPr>
          <w:rFonts w:ascii="Comic Sans MS" w:eastAsia="Times New Roman" w:hAnsi="Comic Sans MS"/>
        </w:rPr>
        <w:t xml:space="preserve">3–5 mikropreparāti „Mitoze sīpola sakņu šūnās”, gaismas mikroskops. </w:t>
      </w:r>
    </w:p>
    <w:p w:rsidR="00B863A8" w:rsidRPr="004579BD" w:rsidRDefault="00B863A8" w:rsidP="00B863A8">
      <w:pPr>
        <w:rPr>
          <w:rFonts w:ascii="Comic Sans MS" w:eastAsia="Times New Roman" w:hAnsi="Comic Sans MS"/>
          <w:b/>
          <w:sz w:val="8"/>
        </w:rPr>
      </w:pPr>
    </w:p>
    <w:p w:rsidR="00B863A8" w:rsidRPr="004579BD" w:rsidRDefault="00B863A8" w:rsidP="00B863A8">
      <w:pPr>
        <w:rPr>
          <w:rFonts w:ascii="Comic Sans MS" w:eastAsia="Times New Roman" w:hAnsi="Comic Sans MS"/>
          <w:b/>
        </w:rPr>
      </w:pPr>
      <w:r w:rsidRPr="004579BD">
        <w:rPr>
          <w:rFonts w:ascii="Comic Sans MS" w:eastAsia="Times New Roman" w:hAnsi="Comic Sans MS"/>
          <w:b/>
        </w:rPr>
        <w:t>Darba gaita</w:t>
      </w:r>
    </w:p>
    <w:p w:rsidR="00B863A8" w:rsidRPr="004579BD" w:rsidRDefault="00B863A8" w:rsidP="00B863A8">
      <w:pPr>
        <w:numPr>
          <w:ilvl w:val="0"/>
          <w:numId w:val="10"/>
        </w:numPr>
        <w:tabs>
          <w:tab w:val="num" w:pos="567"/>
        </w:tabs>
        <w:ind w:hanging="436"/>
        <w:jc w:val="both"/>
        <w:rPr>
          <w:rFonts w:ascii="Comic Sans MS" w:eastAsia="Times New Roman" w:hAnsi="Comic Sans MS"/>
        </w:rPr>
      </w:pPr>
      <w:r w:rsidRPr="004579BD">
        <w:rPr>
          <w:rFonts w:ascii="Comic Sans MS" w:eastAsia="Times New Roman" w:hAnsi="Comic Sans MS"/>
        </w:rPr>
        <w:t xml:space="preserve">Izpēta sīpola sakņu mikropreparātu. </w:t>
      </w:r>
    </w:p>
    <w:p w:rsidR="00B863A8" w:rsidRPr="004579BD" w:rsidRDefault="00B863A8" w:rsidP="00B863A8">
      <w:pPr>
        <w:numPr>
          <w:ilvl w:val="0"/>
          <w:numId w:val="10"/>
        </w:numPr>
        <w:tabs>
          <w:tab w:val="num" w:pos="567"/>
        </w:tabs>
        <w:ind w:left="567" w:hanging="283"/>
        <w:jc w:val="both"/>
        <w:rPr>
          <w:rFonts w:ascii="Comic Sans MS" w:eastAsia="Times New Roman" w:hAnsi="Comic Sans MS"/>
          <w:iCs/>
        </w:rPr>
      </w:pPr>
      <w:r w:rsidRPr="004579BD">
        <w:rPr>
          <w:rFonts w:ascii="Comic Sans MS" w:eastAsia="Times New Roman" w:hAnsi="Comic Sans MS"/>
          <w:iCs/>
        </w:rPr>
        <w:t xml:space="preserve">Mikropreparātā apskata 100 (vai vairāk) šūnas, nosakot, kurā no šūnas dzīves cikla stadijām, </w:t>
      </w:r>
      <w:r w:rsidRPr="004579BD">
        <w:rPr>
          <w:rFonts w:ascii="Comic Sans MS" w:eastAsia="Times New Roman" w:hAnsi="Comic Sans MS"/>
          <w:iCs/>
          <w:u w:val="single"/>
        </w:rPr>
        <w:t>interfāzi</w:t>
      </w:r>
      <w:r w:rsidRPr="004579BD">
        <w:rPr>
          <w:rFonts w:ascii="Comic Sans MS" w:eastAsia="Times New Roman" w:hAnsi="Comic Sans MS"/>
          <w:iCs/>
        </w:rPr>
        <w:t xml:space="preserve"> ieskaitot, tās fiksētas.</w:t>
      </w:r>
    </w:p>
    <w:p w:rsidR="00B863A8" w:rsidRPr="004579BD" w:rsidRDefault="00B863A8" w:rsidP="00B863A8">
      <w:pPr>
        <w:ind w:left="567"/>
        <w:jc w:val="both"/>
        <w:rPr>
          <w:rFonts w:ascii="Comic Sans MS" w:eastAsia="Times New Roman" w:hAnsi="Comic Sans MS"/>
          <w:i/>
          <w:iCs/>
        </w:rPr>
      </w:pPr>
      <w:r w:rsidRPr="004579BD">
        <w:rPr>
          <w:rFonts w:ascii="Comic Sans MS" w:eastAsia="Times New Roman" w:hAnsi="Comic Sans MS"/>
          <w:i/>
          <w:iCs/>
        </w:rPr>
        <w:t xml:space="preserve">Ne visas no attēlos redzamajām šūnām būs “derīgas” novērtēšanai – atsevišķās šūnās kodoli nav redzami, jo griezuma plakne gājusi tiem garām. Šīs šūnas netiek skaitītas. </w:t>
      </w:r>
    </w:p>
    <w:p w:rsidR="00B863A8" w:rsidRPr="004579BD" w:rsidRDefault="00B863A8" w:rsidP="00B863A8">
      <w:pPr>
        <w:numPr>
          <w:ilvl w:val="0"/>
          <w:numId w:val="10"/>
        </w:numPr>
        <w:tabs>
          <w:tab w:val="num" w:pos="567"/>
        </w:tabs>
        <w:ind w:left="567" w:hanging="283"/>
        <w:jc w:val="both"/>
        <w:rPr>
          <w:rFonts w:ascii="Comic Sans MS" w:eastAsia="Times New Roman" w:hAnsi="Comic Sans MS"/>
          <w:iCs/>
        </w:rPr>
      </w:pPr>
      <w:r w:rsidRPr="004579BD">
        <w:rPr>
          <w:rFonts w:ascii="Comic Sans MS" w:eastAsia="Times New Roman" w:hAnsi="Comic Sans MS"/>
          <w:iCs/>
        </w:rPr>
        <w:t xml:space="preserve">Izveido pierakstu kladē tabulu, kurā atzīmē, cik šūnas izvēlētajos mikropreparātos ir fiksētas katrā no dzīves cikla stadijām. </w:t>
      </w:r>
    </w:p>
    <w:p w:rsidR="00B863A8" w:rsidRPr="004579BD" w:rsidRDefault="00B863A8" w:rsidP="00B863A8">
      <w:pPr>
        <w:numPr>
          <w:ilvl w:val="0"/>
          <w:numId w:val="10"/>
        </w:numPr>
        <w:tabs>
          <w:tab w:val="num" w:pos="567"/>
        </w:tabs>
        <w:ind w:left="567" w:hanging="283"/>
        <w:jc w:val="both"/>
        <w:rPr>
          <w:rFonts w:ascii="Comic Sans MS" w:eastAsia="Times New Roman" w:hAnsi="Comic Sans MS"/>
          <w:iCs/>
        </w:rPr>
      </w:pPr>
      <w:r w:rsidRPr="004579BD">
        <w:rPr>
          <w:rFonts w:ascii="Comic Sans MS" w:eastAsia="Times New Roman" w:hAnsi="Comic Sans MS"/>
          <w:iCs/>
        </w:rPr>
        <w:t>Reģistrē datus tabulā.</w:t>
      </w:r>
    </w:p>
    <w:p w:rsidR="00B863A8" w:rsidRPr="004579BD" w:rsidRDefault="00B863A8" w:rsidP="00B863A8">
      <w:pPr>
        <w:numPr>
          <w:ilvl w:val="0"/>
          <w:numId w:val="10"/>
        </w:numPr>
        <w:tabs>
          <w:tab w:val="num" w:pos="567"/>
        </w:tabs>
        <w:ind w:left="567" w:hanging="283"/>
        <w:jc w:val="both"/>
        <w:rPr>
          <w:rFonts w:ascii="Comic Sans MS" w:eastAsia="Times New Roman" w:hAnsi="Comic Sans MS"/>
          <w:iCs/>
        </w:rPr>
      </w:pPr>
      <w:r w:rsidRPr="004579BD">
        <w:rPr>
          <w:rFonts w:ascii="Comic Sans MS" w:eastAsia="Times New Roman" w:hAnsi="Comic Sans MS"/>
          <w:iCs/>
        </w:rPr>
        <w:t>Aprēķina katras dzīves cikla stadijas ilgumu, zinot, ka viss sīpola sakņu veidotājaudu šūnu dzīves cikls ilgst 4 stundas</w:t>
      </w:r>
      <w:r w:rsidRPr="004579BD">
        <w:rPr>
          <w:rFonts w:ascii="Comic Sans MS" w:eastAsia="Times New Roman" w:hAnsi="Comic Sans MS"/>
          <w:i/>
          <w:iCs/>
        </w:rPr>
        <w:t>.</w:t>
      </w:r>
    </w:p>
    <w:p w:rsidR="00B863A8" w:rsidRDefault="00B863A8" w:rsidP="00B863A8">
      <w:pPr>
        <w:ind w:left="567"/>
        <w:jc w:val="both"/>
        <w:rPr>
          <w:rFonts w:ascii="Comic Sans MS" w:eastAsia="Times New Roman" w:hAnsi="Comic Sans MS"/>
          <w:i/>
          <w:iCs/>
        </w:rPr>
      </w:pPr>
      <w:r w:rsidRPr="004579BD">
        <w:rPr>
          <w:rFonts w:ascii="Comic Sans MS" w:eastAsia="Times New Roman" w:hAnsi="Comic Sans MS"/>
          <w:i/>
          <w:iCs/>
        </w:rPr>
        <w:t xml:space="preserve">Ja kopumā aplūkotas 100 šūnas, tad šūnu skaits, kas fiksētas katrā stadijā, atbilst to procentuālajam daudzumam. </w:t>
      </w:r>
    </w:p>
    <w:p w:rsidR="00B863A8" w:rsidRPr="004579BD" w:rsidRDefault="00B863A8" w:rsidP="00B863A8">
      <w:pPr>
        <w:ind w:left="567"/>
        <w:jc w:val="both"/>
        <w:rPr>
          <w:rFonts w:ascii="Comic Sans MS" w:eastAsia="Times New Roman" w:hAnsi="Comic Sans MS"/>
          <w:i/>
          <w:iCs/>
          <w:sz w:val="10"/>
        </w:rPr>
      </w:pPr>
    </w:p>
    <w:p w:rsidR="00B863A8" w:rsidRPr="004579BD" w:rsidRDefault="00B863A8" w:rsidP="00B863A8">
      <w:pPr>
        <w:keepNext/>
        <w:outlineLvl w:val="0"/>
        <w:rPr>
          <w:rFonts w:ascii="Comic Sans MS" w:eastAsia="Times New Roman" w:hAnsi="Comic Sans MS"/>
          <w:b/>
          <w:sz w:val="8"/>
        </w:rPr>
      </w:pPr>
    </w:p>
    <w:p w:rsidR="00B863A8" w:rsidRPr="004579BD" w:rsidRDefault="00B863A8" w:rsidP="00B863A8">
      <w:pPr>
        <w:rPr>
          <w:rFonts w:ascii="Comic Sans MS" w:eastAsia="Times New Roman" w:hAnsi="Comic Sans MS"/>
          <w:b/>
        </w:rPr>
      </w:pPr>
      <w:r w:rsidRPr="004579BD">
        <w:rPr>
          <w:rFonts w:ascii="Comic Sans MS" w:eastAsia="Times New Roman" w:hAnsi="Comic Sans MS"/>
          <w:b/>
        </w:rPr>
        <w:t xml:space="preserve">Rezultātu izvērtēšana un analīze </w:t>
      </w:r>
    </w:p>
    <w:p w:rsidR="00B863A8" w:rsidRPr="004579BD" w:rsidRDefault="00B863A8" w:rsidP="00B863A8">
      <w:pPr>
        <w:numPr>
          <w:ilvl w:val="0"/>
          <w:numId w:val="11"/>
        </w:numPr>
        <w:jc w:val="both"/>
        <w:rPr>
          <w:rFonts w:ascii="Comic Sans MS" w:eastAsia="Times New Roman" w:hAnsi="Comic Sans MS"/>
          <w:bCs/>
          <w:i/>
        </w:rPr>
      </w:pPr>
      <w:r w:rsidRPr="004579BD">
        <w:rPr>
          <w:rFonts w:ascii="Comic Sans MS" w:eastAsia="Times New Roman" w:hAnsi="Comic Sans MS"/>
          <w:bCs/>
          <w:i/>
        </w:rPr>
        <w:t>Kas ietekmē atsevišķu šūnas dzīves cikla stadiju garumu?</w:t>
      </w:r>
    </w:p>
    <w:p w:rsidR="00B863A8" w:rsidRPr="004579BD" w:rsidRDefault="00B863A8" w:rsidP="00B863A8">
      <w:pPr>
        <w:spacing w:before="120"/>
        <w:ind w:left="567" w:hanging="28"/>
        <w:jc w:val="both"/>
        <w:rPr>
          <w:rFonts w:ascii="Comic Sans MS" w:eastAsia="Times New Roman" w:hAnsi="Comic Sans MS"/>
          <w:bCs/>
        </w:rPr>
      </w:pPr>
      <w:r w:rsidRPr="004579BD">
        <w:rPr>
          <w:rFonts w:ascii="Comic Sans MS" w:eastAsia="Times New Roman" w:hAnsi="Comic Sans MS"/>
          <w:bCs/>
          <w:i/>
          <w:iCs/>
        </w:rPr>
        <w:t>..................................................................................................................................................................</w:t>
      </w:r>
      <w:r w:rsidRPr="004579BD">
        <w:rPr>
          <w:rFonts w:ascii="Comic Sans MS" w:eastAsia="Times New Roman" w:hAnsi="Comic Sans MS"/>
          <w:bCs/>
        </w:rPr>
        <w:t xml:space="preserve"> </w:t>
      </w:r>
    </w:p>
    <w:p w:rsidR="00B863A8" w:rsidRPr="004579BD" w:rsidRDefault="00B863A8" w:rsidP="00B863A8">
      <w:pPr>
        <w:numPr>
          <w:ilvl w:val="0"/>
          <w:numId w:val="11"/>
        </w:numPr>
        <w:jc w:val="both"/>
        <w:rPr>
          <w:rFonts w:ascii="Comic Sans MS" w:eastAsia="Times New Roman" w:hAnsi="Comic Sans MS"/>
          <w:bCs/>
          <w:i/>
        </w:rPr>
      </w:pPr>
      <w:r w:rsidRPr="004579BD">
        <w:rPr>
          <w:rFonts w:ascii="Comic Sans MS" w:eastAsia="Times New Roman" w:hAnsi="Comic Sans MS"/>
          <w:bCs/>
          <w:i/>
        </w:rPr>
        <w:t>Kā var atšķirt šūnu dzīves cikla stadijas citu no citas?</w:t>
      </w:r>
    </w:p>
    <w:p w:rsidR="00B863A8" w:rsidRPr="004579BD" w:rsidRDefault="00B863A8" w:rsidP="00B863A8">
      <w:pPr>
        <w:spacing w:before="120"/>
        <w:ind w:left="567" w:hanging="28"/>
        <w:jc w:val="both"/>
        <w:rPr>
          <w:rFonts w:ascii="Comic Sans MS" w:eastAsia="Times New Roman" w:hAnsi="Comic Sans MS"/>
          <w:bCs/>
          <w:i/>
          <w:iCs/>
        </w:rPr>
      </w:pPr>
      <w:r w:rsidRPr="004579BD">
        <w:rPr>
          <w:rFonts w:ascii="Comic Sans MS" w:eastAsia="Times New Roman" w:hAnsi="Comic Sans MS"/>
          <w:bCs/>
          <w:i/>
          <w:iCs/>
        </w:rPr>
        <w:t>..................................................................................................................................................................</w:t>
      </w:r>
    </w:p>
    <w:p w:rsidR="00B863A8" w:rsidRPr="004579BD" w:rsidRDefault="00B863A8" w:rsidP="00B863A8">
      <w:pPr>
        <w:numPr>
          <w:ilvl w:val="0"/>
          <w:numId w:val="11"/>
        </w:numPr>
        <w:jc w:val="both"/>
        <w:rPr>
          <w:rFonts w:ascii="Comic Sans MS" w:eastAsia="Times New Roman" w:hAnsi="Comic Sans MS"/>
          <w:bCs/>
          <w:i/>
        </w:rPr>
      </w:pPr>
      <w:r w:rsidRPr="004579BD">
        <w:rPr>
          <w:rFonts w:ascii="Comic Sans MS" w:eastAsia="Times New Roman" w:hAnsi="Comic Sans MS"/>
          <w:bCs/>
          <w:i/>
        </w:rPr>
        <w:t>Ko varētu apskatīt šūnu mikropreparātu vietā, ja tie nav pieejami?</w:t>
      </w:r>
    </w:p>
    <w:p w:rsidR="00B863A8" w:rsidRPr="004579BD" w:rsidRDefault="00B863A8" w:rsidP="00B863A8">
      <w:pPr>
        <w:spacing w:before="120"/>
        <w:ind w:left="567" w:hanging="28"/>
        <w:jc w:val="both"/>
        <w:rPr>
          <w:rFonts w:ascii="Comic Sans MS" w:eastAsia="Times New Roman" w:hAnsi="Comic Sans MS"/>
          <w:bCs/>
          <w:i/>
          <w:iCs/>
        </w:rPr>
      </w:pPr>
      <w:r w:rsidRPr="004579BD">
        <w:rPr>
          <w:rFonts w:ascii="Comic Sans MS" w:eastAsia="Times New Roman" w:hAnsi="Comic Sans MS"/>
          <w:bCs/>
          <w:i/>
          <w:iCs/>
        </w:rPr>
        <w:t>..................................................................................................................................................................</w:t>
      </w:r>
    </w:p>
    <w:p w:rsidR="00B863A8" w:rsidRPr="004579BD" w:rsidRDefault="00B863A8" w:rsidP="00B863A8">
      <w:pPr>
        <w:ind w:left="360"/>
        <w:rPr>
          <w:rFonts w:ascii="Comic Sans MS" w:eastAsia="Times New Roman" w:hAnsi="Comic Sans MS"/>
          <w:bCs/>
          <w:iCs/>
        </w:rPr>
      </w:pPr>
      <w:r w:rsidRPr="004579BD">
        <w:rPr>
          <w:rFonts w:ascii="Comic Sans MS" w:eastAsia="Times New Roman" w:hAnsi="Comic Sans MS"/>
          <w:i/>
          <w:iCs/>
        </w:rPr>
        <w:t>4. Salīdzini savus rezultātus ar literatūras datiem par</w:t>
      </w:r>
      <w:r w:rsidRPr="004579BD">
        <w:rPr>
          <w:rFonts w:ascii="Comic Sans MS" w:eastAsia="Times New Roman" w:hAnsi="Comic Sans MS"/>
          <w:i/>
        </w:rPr>
        <w:t xml:space="preserve"> citu augu audu mitozes stadiju ilgumu,</w:t>
      </w:r>
      <w:r w:rsidRPr="004579BD">
        <w:rPr>
          <w:rFonts w:ascii="Comic Sans MS" w:eastAsia="Times New Roman" w:hAnsi="Comic Sans MS"/>
          <w:i/>
          <w:iCs/>
        </w:rPr>
        <w:t xml:space="preserve"> novērtē tos!</w:t>
      </w:r>
      <w:r w:rsidRPr="004579BD">
        <w:rPr>
          <w:rFonts w:ascii="Comic Sans MS" w:eastAsia="Times New Roman" w:hAnsi="Comic Sans MS"/>
          <w:bCs/>
          <w:iCs/>
        </w:rPr>
        <w:t xml:space="preserve"> </w:t>
      </w:r>
    </w:p>
    <w:p w:rsidR="00B863A8" w:rsidRPr="004579BD" w:rsidRDefault="00B863A8" w:rsidP="00B863A8">
      <w:pPr>
        <w:ind w:left="360"/>
        <w:rPr>
          <w:rFonts w:ascii="Comic Sans MS" w:eastAsia="Times New Roman" w:hAnsi="Comic Sans MS"/>
          <w:bCs/>
          <w:iCs/>
          <w:sz w:val="8"/>
        </w:rPr>
      </w:pPr>
    </w:p>
    <w:p w:rsidR="00B863A8" w:rsidRPr="004579BD" w:rsidRDefault="00B863A8" w:rsidP="00B863A8">
      <w:pPr>
        <w:ind w:left="360"/>
        <w:jc w:val="center"/>
        <w:rPr>
          <w:rFonts w:eastAsia="Times New Roman"/>
          <w:bCs/>
          <w:i/>
          <w:iCs/>
          <w:sz w:val="20"/>
          <w:szCs w:val="20"/>
        </w:rPr>
      </w:pPr>
      <w:r w:rsidRPr="004579BD">
        <w:rPr>
          <w:rFonts w:eastAsia="Times New Roman"/>
        </w:rPr>
        <w:t>Mitozes fāzu ilgums īrisa un zirņu sēklu endospermas šūnās</w:t>
      </w:r>
    </w:p>
    <w:p w:rsidR="00B863A8" w:rsidRPr="004579BD" w:rsidRDefault="00B863A8" w:rsidP="00B863A8">
      <w:pPr>
        <w:autoSpaceDE w:val="0"/>
        <w:autoSpaceDN w:val="0"/>
        <w:adjustRightInd w:val="0"/>
        <w:jc w:val="center"/>
        <w:rPr>
          <w:rFonts w:eastAsia="Times New Roman"/>
          <w:szCs w:val="20"/>
        </w:rPr>
      </w:pPr>
      <w:r w:rsidRPr="004579BD">
        <w:rPr>
          <w:rFonts w:eastAsia="Times New Roman"/>
          <w:szCs w:val="20"/>
        </w:rPr>
        <w:t>(S.L.Wolfe. Molecular and Cell Biology)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2435"/>
        <w:gridCol w:w="2402"/>
        <w:gridCol w:w="2200"/>
        <w:gridCol w:w="2200"/>
      </w:tblGrid>
      <w:tr w:rsidR="00B863A8" w:rsidRPr="004579BD" w:rsidTr="008A4D8D">
        <w:trPr>
          <w:trHeight w:val="340"/>
        </w:trPr>
        <w:tc>
          <w:tcPr>
            <w:tcW w:w="797" w:type="pct"/>
            <w:shd w:val="clear" w:color="auto" w:fill="F2F2F2"/>
            <w:vAlign w:val="center"/>
          </w:tcPr>
          <w:p w:rsidR="00B863A8" w:rsidRPr="004579BD" w:rsidRDefault="00B863A8" w:rsidP="008A4D8D">
            <w:pPr>
              <w:jc w:val="center"/>
              <w:rPr>
                <w:rFonts w:eastAsia="Times New Roman"/>
                <w:bCs/>
              </w:rPr>
            </w:pPr>
            <w:r w:rsidRPr="004579BD">
              <w:rPr>
                <w:rFonts w:eastAsia="Times New Roman"/>
                <w:bCs/>
              </w:rPr>
              <w:t>Augs</w:t>
            </w:r>
          </w:p>
        </w:tc>
        <w:tc>
          <w:tcPr>
            <w:tcW w:w="1108" w:type="pct"/>
            <w:shd w:val="clear" w:color="auto" w:fill="F2F2F2"/>
            <w:vAlign w:val="center"/>
          </w:tcPr>
          <w:p w:rsidR="00B863A8" w:rsidRPr="004579BD" w:rsidRDefault="00B863A8" w:rsidP="008A4D8D">
            <w:pPr>
              <w:jc w:val="center"/>
              <w:rPr>
                <w:rFonts w:eastAsia="Times New Roman"/>
                <w:bCs/>
              </w:rPr>
            </w:pPr>
            <w:r w:rsidRPr="004579BD">
              <w:rPr>
                <w:rFonts w:eastAsia="Times New Roman"/>
                <w:bCs/>
              </w:rPr>
              <w:t>Profāze (min)</w:t>
            </w:r>
          </w:p>
        </w:tc>
        <w:tc>
          <w:tcPr>
            <w:tcW w:w="1093" w:type="pct"/>
            <w:shd w:val="clear" w:color="auto" w:fill="F2F2F2"/>
            <w:vAlign w:val="center"/>
          </w:tcPr>
          <w:p w:rsidR="00B863A8" w:rsidRPr="004579BD" w:rsidRDefault="00B863A8" w:rsidP="008A4D8D">
            <w:pPr>
              <w:jc w:val="center"/>
              <w:rPr>
                <w:rFonts w:eastAsia="Times New Roman"/>
                <w:bCs/>
                <w:lang w:val="en-US"/>
              </w:rPr>
            </w:pPr>
            <w:r w:rsidRPr="004579BD">
              <w:rPr>
                <w:rFonts w:eastAsia="Times New Roman"/>
                <w:bCs/>
              </w:rPr>
              <w:t>Metafā</w:t>
            </w:r>
            <w:r w:rsidRPr="004579BD">
              <w:rPr>
                <w:rFonts w:eastAsia="Times New Roman"/>
                <w:bCs/>
                <w:lang w:val="en-US"/>
              </w:rPr>
              <w:t>ze (min)</w:t>
            </w:r>
          </w:p>
        </w:tc>
        <w:tc>
          <w:tcPr>
            <w:tcW w:w="1001" w:type="pct"/>
            <w:shd w:val="clear" w:color="auto" w:fill="F2F2F2"/>
            <w:vAlign w:val="center"/>
          </w:tcPr>
          <w:p w:rsidR="00B863A8" w:rsidRPr="004579BD" w:rsidRDefault="00B863A8" w:rsidP="008A4D8D">
            <w:pPr>
              <w:jc w:val="center"/>
              <w:rPr>
                <w:rFonts w:eastAsia="Times New Roman"/>
                <w:bCs/>
                <w:lang w:val="en-US"/>
              </w:rPr>
            </w:pPr>
            <w:r w:rsidRPr="004579BD">
              <w:rPr>
                <w:rFonts w:eastAsia="Times New Roman"/>
                <w:bCs/>
                <w:lang w:val="en-US"/>
              </w:rPr>
              <w:t>Anafāze (min)</w:t>
            </w:r>
          </w:p>
        </w:tc>
        <w:tc>
          <w:tcPr>
            <w:tcW w:w="1001" w:type="pct"/>
            <w:shd w:val="clear" w:color="auto" w:fill="F2F2F2"/>
            <w:vAlign w:val="center"/>
          </w:tcPr>
          <w:p w:rsidR="00B863A8" w:rsidRPr="004579BD" w:rsidRDefault="00B863A8" w:rsidP="008A4D8D">
            <w:pPr>
              <w:jc w:val="center"/>
              <w:rPr>
                <w:rFonts w:eastAsia="Times New Roman"/>
                <w:bCs/>
                <w:lang w:val="en-US"/>
              </w:rPr>
            </w:pPr>
            <w:r w:rsidRPr="004579BD">
              <w:rPr>
                <w:rFonts w:eastAsia="Times New Roman"/>
                <w:bCs/>
                <w:lang w:val="en-US"/>
              </w:rPr>
              <w:t>Telofāze (min)</w:t>
            </w:r>
          </w:p>
        </w:tc>
      </w:tr>
      <w:tr w:rsidR="00B863A8" w:rsidRPr="004579BD" w:rsidTr="008A4D8D">
        <w:trPr>
          <w:trHeight w:val="340"/>
        </w:trPr>
        <w:tc>
          <w:tcPr>
            <w:tcW w:w="797" w:type="pct"/>
            <w:shd w:val="clear" w:color="auto" w:fill="F2F2F2"/>
            <w:vAlign w:val="center"/>
          </w:tcPr>
          <w:p w:rsidR="00B863A8" w:rsidRPr="004579BD" w:rsidRDefault="00B863A8" w:rsidP="008A4D8D">
            <w:pPr>
              <w:jc w:val="center"/>
              <w:rPr>
                <w:rFonts w:eastAsia="Times New Roman"/>
                <w:lang w:val="en-US"/>
              </w:rPr>
            </w:pPr>
            <w:r w:rsidRPr="004579BD">
              <w:rPr>
                <w:rFonts w:eastAsia="Times New Roman"/>
                <w:lang w:val="en-US"/>
              </w:rPr>
              <w:t>Īriss</w:t>
            </w:r>
          </w:p>
        </w:tc>
        <w:tc>
          <w:tcPr>
            <w:tcW w:w="1108" w:type="pct"/>
            <w:vAlign w:val="center"/>
          </w:tcPr>
          <w:p w:rsidR="00B863A8" w:rsidRPr="004579BD" w:rsidRDefault="00B863A8" w:rsidP="008A4D8D">
            <w:pPr>
              <w:jc w:val="center"/>
              <w:rPr>
                <w:rFonts w:eastAsia="Times New Roman"/>
                <w:lang w:val="en-US"/>
              </w:rPr>
            </w:pPr>
            <w:r w:rsidRPr="004579BD">
              <w:rPr>
                <w:rFonts w:eastAsia="Times New Roman"/>
                <w:lang w:val="en-US"/>
              </w:rPr>
              <w:t>40</w:t>
            </w:r>
          </w:p>
        </w:tc>
        <w:tc>
          <w:tcPr>
            <w:tcW w:w="1093" w:type="pct"/>
            <w:vAlign w:val="center"/>
          </w:tcPr>
          <w:p w:rsidR="00B863A8" w:rsidRPr="004579BD" w:rsidRDefault="00B863A8" w:rsidP="008A4D8D">
            <w:pPr>
              <w:jc w:val="center"/>
              <w:rPr>
                <w:rFonts w:eastAsia="Times New Roman"/>
                <w:lang w:val="en-US"/>
              </w:rPr>
            </w:pPr>
            <w:r w:rsidRPr="004579BD">
              <w:rPr>
                <w:rFonts w:eastAsia="Times New Roman"/>
                <w:lang w:val="en-US"/>
              </w:rPr>
              <w:t>20</w:t>
            </w:r>
          </w:p>
        </w:tc>
        <w:tc>
          <w:tcPr>
            <w:tcW w:w="1001" w:type="pct"/>
            <w:vAlign w:val="center"/>
          </w:tcPr>
          <w:p w:rsidR="00B863A8" w:rsidRPr="004579BD" w:rsidRDefault="00B863A8" w:rsidP="008A4D8D">
            <w:pPr>
              <w:jc w:val="center"/>
              <w:rPr>
                <w:rFonts w:eastAsia="Times New Roman"/>
                <w:lang w:val="en-US"/>
              </w:rPr>
            </w:pPr>
            <w:r w:rsidRPr="004579BD">
              <w:rPr>
                <w:rFonts w:eastAsia="Times New Roman"/>
                <w:lang w:val="en-US"/>
              </w:rPr>
              <w:t>12</w:t>
            </w:r>
          </w:p>
        </w:tc>
        <w:tc>
          <w:tcPr>
            <w:tcW w:w="1001" w:type="pct"/>
            <w:vAlign w:val="center"/>
          </w:tcPr>
          <w:p w:rsidR="00B863A8" w:rsidRPr="004579BD" w:rsidRDefault="00B863A8" w:rsidP="008A4D8D">
            <w:pPr>
              <w:jc w:val="center"/>
              <w:rPr>
                <w:rFonts w:eastAsia="Times New Roman"/>
                <w:lang w:val="en-US"/>
              </w:rPr>
            </w:pPr>
            <w:r w:rsidRPr="004579BD">
              <w:rPr>
                <w:rFonts w:eastAsia="Times New Roman"/>
                <w:lang w:val="en-US"/>
              </w:rPr>
              <w:t>110</w:t>
            </w:r>
          </w:p>
        </w:tc>
      </w:tr>
      <w:tr w:rsidR="00B863A8" w:rsidRPr="004579BD" w:rsidTr="008A4D8D">
        <w:trPr>
          <w:trHeight w:val="340"/>
        </w:trPr>
        <w:tc>
          <w:tcPr>
            <w:tcW w:w="797" w:type="pct"/>
            <w:shd w:val="clear" w:color="auto" w:fill="F2F2F2"/>
            <w:vAlign w:val="center"/>
          </w:tcPr>
          <w:p w:rsidR="00B863A8" w:rsidRPr="004579BD" w:rsidRDefault="00B863A8" w:rsidP="008A4D8D">
            <w:pPr>
              <w:jc w:val="center"/>
              <w:rPr>
                <w:rFonts w:eastAsia="Times New Roman"/>
                <w:lang w:val="en-US"/>
              </w:rPr>
            </w:pPr>
            <w:r w:rsidRPr="004579BD">
              <w:rPr>
                <w:rFonts w:eastAsia="Times New Roman"/>
                <w:lang w:val="en-US"/>
              </w:rPr>
              <w:t>Sējas zirņi</w:t>
            </w:r>
          </w:p>
        </w:tc>
        <w:tc>
          <w:tcPr>
            <w:tcW w:w="1108" w:type="pct"/>
            <w:vAlign w:val="center"/>
          </w:tcPr>
          <w:p w:rsidR="00B863A8" w:rsidRPr="004579BD" w:rsidRDefault="00B863A8" w:rsidP="008A4D8D">
            <w:pPr>
              <w:jc w:val="center"/>
              <w:rPr>
                <w:rFonts w:eastAsia="Times New Roman"/>
                <w:lang w:val="en-US"/>
              </w:rPr>
            </w:pPr>
            <w:r w:rsidRPr="004579BD">
              <w:rPr>
                <w:rFonts w:eastAsia="Times New Roman"/>
                <w:lang w:val="en-US"/>
              </w:rPr>
              <w:t>40–65</w:t>
            </w:r>
          </w:p>
        </w:tc>
        <w:tc>
          <w:tcPr>
            <w:tcW w:w="1093" w:type="pct"/>
            <w:vAlign w:val="center"/>
          </w:tcPr>
          <w:p w:rsidR="00B863A8" w:rsidRPr="004579BD" w:rsidRDefault="00B863A8" w:rsidP="008A4D8D">
            <w:pPr>
              <w:jc w:val="center"/>
              <w:rPr>
                <w:rFonts w:eastAsia="Times New Roman"/>
                <w:lang w:val="en-US"/>
              </w:rPr>
            </w:pPr>
            <w:r w:rsidRPr="004579BD">
              <w:rPr>
                <w:rFonts w:eastAsia="Times New Roman"/>
                <w:lang w:val="en-US"/>
              </w:rPr>
              <w:t>10–30</w:t>
            </w:r>
          </w:p>
        </w:tc>
        <w:tc>
          <w:tcPr>
            <w:tcW w:w="1001" w:type="pct"/>
            <w:vAlign w:val="center"/>
          </w:tcPr>
          <w:p w:rsidR="00B863A8" w:rsidRPr="004579BD" w:rsidRDefault="00B863A8" w:rsidP="008A4D8D">
            <w:pPr>
              <w:jc w:val="center"/>
              <w:rPr>
                <w:rFonts w:eastAsia="Times New Roman"/>
                <w:lang w:val="en-US"/>
              </w:rPr>
            </w:pPr>
            <w:r w:rsidRPr="004579BD">
              <w:rPr>
                <w:rFonts w:eastAsia="Times New Roman"/>
                <w:lang w:val="en-US"/>
              </w:rPr>
              <w:t>12–22</w:t>
            </w:r>
          </w:p>
        </w:tc>
        <w:tc>
          <w:tcPr>
            <w:tcW w:w="1001" w:type="pct"/>
            <w:vAlign w:val="center"/>
          </w:tcPr>
          <w:p w:rsidR="00B863A8" w:rsidRPr="004579BD" w:rsidRDefault="00B863A8" w:rsidP="008A4D8D">
            <w:pPr>
              <w:jc w:val="center"/>
              <w:rPr>
                <w:rFonts w:eastAsia="Times New Roman"/>
                <w:lang w:val="en-US"/>
              </w:rPr>
            </w:pPr>
            <w:r w:rsidRPr="004579BD">
              <w:rPr>
                <w:rFonts w:eastAsia="Times New Roman"/>
                <w:lang w:val="en-US"/>
              </w:rPr>
              <w:t>40–75</w:t>
            </w:r>
          </w:p>
        </w:tc>
      </w:tr>
    </w:tbl>
    <w:p w:rsidR="00B863A8" w:rsidRPr="004579BD" w:rsidRDefault="00B863A8" w:rsidP="00B863A8">
      <w:pPr>
        <w:spacing w:before="120"/>
        <w:ind w:left="567" w:hanging="28"/>
        <w:jc w:val="both"/>
        <w:rPr>
          <w:rFonts w:ascii="Comic Sans MS" w:eastAsia="Times New Roman" w:hAnsi="Comic Sans MS"/>
          <w:bCs/>
          <w:i/>
          <w:iCs/>
        </w:rPr>
      </w:pPr>
      <w:r w:rsidRPr="004579BD">
        <w:rPr>
          <w:rFonts w:ascii="Comic Sans MS" w:eastAsia="Times New Roman" w:hAnsi="Comic Sans MS"/>
          <w:bCs/>
          <w:i/>
          <w:iCs/>
        </w:rPr>
        <w:t>..................................................................................................................................................................</w:t>
      </w:r>
    </w:p>
    <w:p w:rsidR="00B863A8" w:rsidRPr="004579BD" w:rsidRDefault="00B863A8" w:rsidP="00B863A8">
      <w:pPr>
        <w:spacing w:before="120"/>
        <w:ind w:left="567" w:hanging="28"/>
        <w:jc w:val="both"/>
        <w:rPr>
          <w:rFonts w:ascii="Comic Sans MS" w:eastAsia="Times New Roman" w:hAnsi="Comic Sans MS"/>
          <w:bCs/>
          <w:i/>
          <w:iCs/>
        </w:rPr>
      </w:pPr>
      <w:r w:rsidRPr="004579BD">
        <w:rPr>
          <w:rFonts w:ascii="Comic Sans MS" w:eastAsia="Times New Roman" w:hAnsi="Comic Sans MS"/>
          <w:bCs/>
          <w:i/>
          <w:iCs/>
        </w:rPr>
        <w:t>..................................................................................................................................................................</w:t>
      </w:r>
    </w:p>
    <w:p w:rsidR="00B863A8" w:rsidRPr="004579BD" w:rsidRDefault="00B863A8" w:rsidP="00B863A8">
      <w:pPr>
        <w:spacing w:before="120"/>
        <w:ind w:left="567" w:hanging="28"/>
        <w:jc w:val="both"/>
        <w:rPr>
          <w:rFonts w:ascii="Comic Sans MS" w:eastAsia="Times New Roman" w:hAnsi="Comic Sans MS"/>
          <w:b/>
          <w:bCs/>
          <w:i/>
          <w:iCs/>
        </w:rPr>
      </w:pPr>
      <w:r w:rsidRPr="004579BD">
        <w:rPr>
          <w:rFonts w:ascii="Comic Sans MS" w:eastAsia="Times New Roman" w:hAnsi="Comic Sans MS"/>
          <w:bCs/>
          <w:i/>
          <w:iCs/>
        </w:rPr>
        <w:t>..................................................................................................................................................................</w:t>
      </w:r>
    </w:p>
    <w:p w:rsidR="00B863A8" w:rsidRPr="004579BD" w:rsidRDefault="00B863A8" w:rsidP="00B863A8">
      <w:pPr>
        <w:ind w:left="360"/>
        <w:jc w:val="both"/>
        <w:rPr>
          <w:rFonts w:ascii="Comic Sans MS" w:eastAsia="Times New Roman" w:hAnsi="Comic Sans MS"/>
          <w:bCs/>
          <w:i/>
          <w:iCs/>
        </w:rPr>
      </w:pPr>
      <w:r w:rsidRPr="004579BD">
        <w:rPr>
          <w:rFonts w:ascii="Comic Sans MS" w:eastAsia="Times New Roman" w:hAnsi="Comic Sans MS"/>
          <w:bCs/>
          <w:i/>
          <w:iCs/>
        </w:rPr>
        <w:t>5. Kā tu nonāci līdz metodei, kā aprēķināt šūnu dzīves cikla stadiju ilgumu?</w:t>
      </w:r>
    </w:p>
    <w:p w:rsidR="00B863A8" w:rsidRPr="004579BD" w:rsidRDefault="00B863A8" w:rsidP="00B863A8">
      <w:pPr>
        <w:spacing w:before="120"/>
        <w:ind w:left="567" w:hanging="28"/>
        <w:jc w:val="both"/>
        <w:rPr>
          <w:rFonts w:ascii="Comic Sans MS" w:eastAsia="Times New Roman" w:hAnsi="Comic Sans MS"/>
          <w:bCs/>
          <w:i/>
          <w:iCs/>
        </w:rPr>
      </w:pPr>
      <w:r w:rsidRPr="004579BD">
        <w:rPr>
          <w:rFonts w:ascii="Comic Sans MS" w:eastAsia="Times New Roman" w:hAnsi="Comic Sans MS"/>
          <w:bCs/>
          <w:i/>
          <w:iCs/>
        </w:rPr>
        <w:t>..................................................................................................................................................................</w:t>
      </w:r>
    </w:p>
    <w:p w:rsidR="00B863A8" w:rsidRDefault="00B863A8" w:rsidP="00B863A8">
      <w:pPr>
        <w:spacing w:before="120"/>
        <w:ind w:left="567" w:hanging="28"/>
        <w:jc w:val="both"/>
        <w:rPr>
          <w:rFonts w:ascii="Comic Sans MS" w:eastAsia="Times New Roman" w:hAnsi="Comic Sans MS"/>
          <w:bCs/>
          <w:i/>
          <w:iCs/>
        </w:rPr>
      </w:pPr>
      <w:r w:rsidRPr="004579BD">
        <w:rPr>
          <w:rFonts w:ascii="Comic Sans MS" w:eastAsia="Times New Roman" w:hAnsi="Comic Sans MS"/>
          <w:bCs/>
          <w:i/>
          <w:iCs/>
        </w:rPr>
        <w:t>..................................................................................................................................................................</w:t>
      </w:r>
    </w:p>
    <w:p w:rsidR="00B863A8" w:rsidRDefault="00B863A8">
      <w:pPr>
        <w:rPr>
          <w:rFonts w:eastAsia="Times New Roman"/>
          <w:bCs/>
          <w:iCs/>
        </w:rPr>
      </w:pPr>
      <w:r>
        <w:rPr>
          <w:rFonts w:eastAsia="Times New Roman"/>
          <w:bCs/>
          <w:iCs/>
        </w:rPr>
        <w:br w:type="page"/>
      </w:r>
    </w:p>
    <w:p w:rsidR="00B863A8" w:rsidRDefault="00B863A8" w:rsidP="00B863A8">
      <w:pPr>
        <w:ind w:left="562" w:hanging="29"/>
        <w:jc w:val="right"/>
        <w:rPr>
          <w:rFonts w:eastAsia="Times New Roman"/>
          <w:bCs/>
          <w:iCs/>
        </w:rPr>
      </w:pPr>
      <w:r>
        <w:rPr>
          <w:rFonts w:eastAsia="Times New Roman"/>
          <w:bCs/>
          <w:iCs/>
        </w:rPr>
        <w:lastRenderedPageBreak/>
        <w:t>2.pielikums.</w:t>
      </w:r>
    </w:p>
    <w:p w:rsidR="00B863A8" w:rsidRDefault="00B863A8" w:rsidP="00B863A8">
      <w:pPr>
        <w:ind w:left="562" w:hanging="29"/>
        <w:jc w:val="right"/>
        <w:rPr>
          <w:rFonts w:eastAsia="Times New Roman"/>
          <w:bCs/>
          <w:iCs/>
        </w:rPr>
      </w:pPr>
      <w:r>
        <w:rPr>
          <w:rFonts w:eastAsia="Times New Roman"/>
          <w:bCs/>
          <w:iCs/>
        </w:rPr>
        <w:t>Aprēķina piemērs</w:t>
      </w:r>
    </w:p>
    <w:p w:rsidR="00B863A8" w:rsidRDefault="00B863A8" w:rsidP="00B863A8">
      <w:pPr>
        <w:ind w:left="562" w:hanging="29"/>
        <w:jc w:val="both"/>
        <w:rPr>
          <w:rFonts w:eastAsia="Times New Roman"/>
          <w:bCs/>
          <w:iCs/>
        </w:rPr>
      </w:pPr>
    </w:p>
    <w:p w:rsidR="00B863A8" w:rsidRPr="00C4189F" w:rsidRDefault="00B863A8" w:rsidP="00B863A8">
      <w:pPr>
        <w:ind w:firstLine="284"/>
        <w:jc w:val="both"/>
        <w:rPr>
          <w:rFonts w:eastAsia="Times New Roman"/>
          <w:bCs/>
          <w:i/>
          <w:iCs/>
        </w:rPr>
      </w:pPr>
      <w:r w:rsidRPr="00C4189F">
        <w:rPr>
          <w:rFonts w:eastAsia="Times New Roman"/>
          <w:bCs/>
          <w:i/>
          <w:iCs/>
        </w:rPr>
        <w:t xml:space="preserve">Aprēķina piemērs: </w:t>
      </w:r>
    </w:p>
    <w:p w:rsidR="00B863A8" w:rsidRPr="00C4189F" w:rsidRDefault="00B863A8" w:rsidP="00B863A8">
      <w:pPr>
        <w:ind w:firstLine="284"/>
        <w:jc w:val="both"/>
        <w:rPr>
          <w:rFonts w:eastAsia="Times New Roman"/>
          <w:i/>
          <w:iCs/>
        </w:rPr>
      </w:pPr>
      <w:r w:rsidRPr="00C4189F">
        <w:rPr>
          <w:rFonts w:eastAsia="Times New Roman"/>
          <w:i/>
          <w:iCs/>
        </w:rPr>
        <w:t xml:space="preserve">Ja kopumā aplūkotas 100 šūnas, tad šūnu skaits, kas fiksētas katrā stadijā atbilst to procentuālajam daudzumam. </w:t>
      </w:r>
    </w:p>
    <w:p w:rsidR="00B863A8" w:rsidRPr="00C4189F" w:rsidRDefault="00B863A8" w:rsidP="00B863A8">
      <w:pPr>
        <w:ind w:firstLine="284"/>
        <w:jc w:val="both"/>
        <w:rPr>
          <w:rFonts w:eastAsia="Times New Roman"/>
          <w:i/>
          <w:iCs/>
        </w:rPr>
      </w:pPr>
    </w:p>
    <w:p w:rsidR="00B863A8" w:rsidRPr="00C4189F" w:rsidRDefault="00B863A8" w:rsidP="00B863A8">
      <w:pPr>
        <w:ind w:firstLine="284"/>
        <w:jc w:val="both"/>
        <w:rPr>
          <w:rFonts w:eastAsia="Times New Roman"/>
          <w:i/>
          <w:iCs/>
        </w:rPr>
      </w:pPr>
      <w:r w:rsidRPr="00C4189F">
        <w:rPr>
          <w:rFonts w:eastAsia="Times New Roman"/>
          <w:i/>
          <w:iCs/>
        </w:rPr>
        <w:t xml:space="preserve">a) Piemēram, cik procenti šūnu ir fiksētas profāzē, ja tā novērota 13 šūnās </w:t>
      </w:r>
      <w:r w:rsidRPr="00C4189F">
        <w:rPr>
          <w:rFonts w:eastAsia="Times New Roman"/>
          <w:i/>
          <w:iCs/>
          <w:u w:val="single"/>
        </w:rPr>
        <w:t>no visām</w:t>
      </w:r>
      <w:r w:rsidRPr="00C4189F">
        <w:rPr>
          <w:rFonts w:eastAsia="Times New Roman"/>
          <w:i/>
          <w:iCs/>
        </w:rPr>
        <w:t xml:space="preserve"> pētītajām?</w:t>
      </w:r>
    </w:p>
    <w:p w:rsidR="00B863A8" w:rsidRPr="00C4189F" w:rsidRDefault="00B863A8" w:rsidP="00B863A8">
      <w:pPr>
        <w:ind w:firstLine="284"/>
        <w:jc w:val="both"/>
        <w:rPr>
          <w:rFonts w:eastAsia="Times New Roman"/>
          <w:i/>
          <w:iCs/>
        </w:rPr>
      </w:pPr>
    </w:p>
    <w:p w:rsidR="00B863A8" w:rsidRPr="00C4189F" w:rsidRDefault="00B863A8" w:rsidP="00B863A8">
      <w:pPr>
        <w:ind w:firstLine="284"/>
        <w:jc w:val="both"/>
        <w:rPr>
          <w:rFonts w:eastAsia="Times New Roman"/>
          <w:i/>
          <w:iCs/>
        </w:rPr>
      </w:pPr>
      <w:r w:rsidRPr="00C4189F">
        <w:rPr>
          <w:rFonts w:eastAsia="Times New Roman"/>
          <w:i/>
          <w:iCs/>
          <w:noProof/>
          <w:lang w:val="en-US"/>
        </w:rPr>
        <w:drawing>
          <wp:inline distT="0" distB="0" distL="0" distR="0" wp14:anchorId="2DF2CBDB" wp14:editId="56834C80">
            <wp:extent cx="2106930" cy="285115"/>
            <wp:effectExtent l="0" t="0" r="7620" b="635"/>
            <wp:docPr id="4" name="Picture 4" descr="profaze-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aze-formu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6930" cy="285115"/>
                    </a:xfrm>
                    <a:prstGeom prst="rect">
                      <a:avLst/>
                    </a:prstGeom>
                    <a:noFill/>
                    <a:ln>
                      <a:noFill/>
                    </a:ln>
                  </pic:spPr>
                </pic:pic>
              </a:graphicData>
            </a:graphic>
          </wp:inline>
        </w:drawing>
      </w:r>
    </w:p>
    <w:p w:rsidR="00B863A8" w:rsidRPr="00C4189F" w:rsidRDefault="00B863A8" w:rsidP="00B863A8">
      <w:pPr>
        <w:ind w:firstLine="284"/>
        <w:jc w:val="both"/>
        <w:rPr>
          <w:rFonts w:eastAsia="Times New Roman"/>
          <w:i/>
          <w:iCs/>
        </w:rPr>
      </w:pPr>
    </w:p>
    <w:p w:rsidR="00B863A8" w:rsidRPr="00C4189F" w:rsidRDefault="00B863A8" w:rsidP="00B863A8">
      <w:pPr>
        <w:ind w:firstLine="284"/>
        <w:jc w:val="both"/>
        <w:rPr>
          <w:rFonts w:eastAsia="Times New Roman"/>
          <w:i/>
          <w:iCs/>
        </w:rPr>
      </w:pPr>
      <w:r w:rsidRPr="00C4189F">
        <w:rPr>
          <w:rFonts w:eastAsia="Times New Roman"/>
          <w:i/>
          <w:iCs/>
        </w:rPr>
        <w:t>b) Cik minūtes atbilst vienam procentam no šūnas dzīves cikla ilguma, ja viss šūnas cikls (100%) ir 4 stundas (4 stundas=240min)?</w:t>
      </w:r>
    </w:p>
    <w:p w:rsidR="00B863A8" w:rsidRPr="00C4189F" w:rsidRDefault="00B863A8" w:rsidP="00B863A8">
      <w:pPr>
        <w:ind w:firstLine="284"/>
        <w:jc w:val="both"/>
        <w:rPr>
          <w:rFonts w:eastAsia="Times New Roman"/>
          <w:i/>
          <w:iCs/>
        </w:rPr>
      </w:pPr>
    </w:p>
    <w:p w:rsidR="00B863A8" w:rsidRPr="00C4189F" w:rsidRDefault="00B863A8" w:rsidP="00B863A8">
      <w:pPr>
        <w:ind w:firstLine="284"/>
        <w:jc w:val="both"/>
        <w:rPr>
          <w:rFonts w:eastAsia="Times New Roman"/>
          <w:i/>
          <w:iCs/>
        </w:rPr>
      </w:pPr>
      <w:r w:rsidRPr="00C4189F">
        <w:rPr>
          <w:rFonts w:eastAsia="Times New Roman"/>
          <w:i/>
          <w:iCs/>
          <w:noProof/>
          <w:lang w:val="en-US"/>
        </w:rPr>
        <w:drawing>
          <wp:inline distT="0" distB="0" distL="0" distR="0" wp14:anchorId="061AB055" wp14:editId="48EB5A96">
            <wp:extent cx="1077767" cy="278130"/>
            <wp:effectExtent l="0" t="0" r="8255" b="7620"/>
            <wp:docPr id="3" name="Picture 3" descr="profaze-formu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faze-formula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598" b="-28"/>
                    <a:stretch/>
                  </pic:blipFill>
                  <pic:spPr bwMode="auto">
                    <a:xfrm>
                      <a:off x="0" y="0"/>
                      <a:ext cx="1078069" cy="278208"/>
                    </a:xfrm>
                    <a:prstGeom prst="rect">
                      <a:avLst/>
                    </a:prstGeom>
                    <a:noFill/>
                    <a:ln>
                      <a:noFill/>
                    </a:ln>
                    <a:extLst>
                      <a:ext uri="{53640926-AAD7-44D8-BBD7-CCE9431645EC}">
                        <a14:shadowObscured xmlns:a14="http://schemas.microsoft.com/office/drawing/2010/main"/>
                      </a:ext>
                    </a:extLst>
                  </pic:spPr>
                </pic:pic>
              </a:graphicData>
            </a:graphic>
          </wp:inline>
        </w:drawing>
      </w:r>
    </w:p>
    <w:p w:rsidR="00B863A8" w:rsidRPr="00C4189F" w:rsidRDefault="00B863A8" w:rsidP="00B863A8">
      <w:pPr>
        <w:ind w:firstLine="284"/>
        <w:jc w:val="both"/>
        <w:rPr>
          <w:rFonts w:eastAsia="Times New Roman"/>
          <w:i/>
          <w:iCs/>
        </w:rPr>
      </w:pPr>
      <w:r w:rsidRPr="00C4189F">
        <w:rPr>
          <w:rFonts w:eastAsia="Times New Roman"/>
          <w:i/>
          <w:iCs/>
        </w:rPr>
        <w:t xml:space="preserve"> </w:t>
      </w:r>
    </w:p>
    <w:p w:rsidR="00B863A8" w:rsidRPr="00C4189F" w:rsidRDefault="00B863A8" w:rsidP="00B863A8">
      <w:pPr>
        <w:ind w:firstLine="284"/>
        <w:jc w:val="both"/>
        <w:rPr>
          <w:rFonts w:eastAsia="Times New Roman"/>
          <w:i/>
          <w:iCs/>
        </w:rPr>
      </w:pPr>
      <w:r w:rsidRPr="00C4189F">
        <w:rPr>
          <w:rFonts w:eastAsia="Times New Roman"/>
          <w:i/>
          <w:iCs/>
        </w:rPr>
        <w:t>c) Cik minūtēm atbilst 13% ?</w:t>
      </w:r>
    </w:p>
    <w:p w:rsidR="00B863A8" w:rsidRPr="00C4189F" w:rsidRDefault="00B863A8" w:rsidP="00B863A8">
      <w:pPr>
        <w:ind w:firstLine="284"/>
        <w:jc w:val="both"/>
        <w:rPr>
          <w:rFonts w:eastAsia="Times New Roman"/>
          <w:i/>
          <w:iCs/>
        </w:rPr>
      </w:pPr>
      <w:r w:rsidRPr="00C4189F">
        <w:rPr>
          <w:rFonts w:eastAsia="Times New Roman"/>
          <w:i/>
          <w:iCs/>
        </w:rPr>
        <w:t>13 x</w:t>
      </w:r>
      <w:r w:rsidRPr="00C4189F">
        <w:rPr>
          <w:rFonts w:eastAsia="Times New Roman"/>
          <w:i/>
          <w:iCs/>
          <w:sz w:val="36"/>
        </w:rPr>
        <w:t xml:space="preserve"> </w:t>
      </w:r>
      <w:r>
        <w:rPr>
          <w:rFonts w:eastAsia="Times New Roman"/>
          <w:i/>
          <w:iCs/>
        </w:rPr>
        <w:t>2 min 24 s =31 min 12 s</w:t>
      </w:r>
    </w:p>
    <w:p w:rsidR="00B863A8" w:rsidRPr="00C4189F" w:rsidRDefault="00B863A8" w:rsidP="00B863A8">
      <w:pPr>
        <w:spacing w:before="120"/>
        <w:ind w:left="567" w:hanging="28"/>
        <w:jc w:val="both"/>
        <w:rPr>
          <w:rFonts w:eastAsia="Times New Roman"/>
          <w:bCs/>
          <w:iCs/>
        </w:rPr>
      </w:pPr>
    </w:p>
    <w:p w:rsidR="00B863A8" w:rsidRPr="00C4189F" w:rsidRDefault="00B863A8" w:rsidP="00B863A8">
      <w:pPr>
        <w:spacing w:before="120"/>
        <w:ind w:left="567" w:hanging="28"/>
        <w:jc w:val="both"/>
        <w:rPr>
          <w:rFonts w:ascii="Comic Sans MS" w:eastAsia="Times New Roman" w:hAnsi="Comic Sans MS"/>
          <w:bCs/>
          <w:iCs/>
        </w:rPr>
      </w:pPr>
    </w:p>
    <w:p w:rsidR="00B863A8" w:rsidRDefault="00B863A8">
      <w:r>
        <w:br w:type="page"/>
      </w:r>
    </w:p>
    <w:p w:rsidR="00B863A8" w:rsidRDefault="00B863A8" w:rsidP="00B863A8">
      <w:pPr>
        <w:ind w:firstLine="567"/>
        <w:jc w:val="right"/>
      </w:pPr>
      <w:r>
        <w:lastRenderedPageBreak/>
        <w:t>3.pielikums.</w:t>
      </w:r>
    </w:p>
    <w:p w:rsidR="00B863A8" w:rsidRDefault="00B863A8" w:rsidP="00B863A8">
      <w:pPr>
        <w:ind w:firstLine="567"/>
        <w:jc w:val="right"/>
      </w:pPr>
      <w:r>
        <w:t>Stundā izmantotās prezentācijas (PPT) slīdi</w:t>
      </w:r>
    </w:p>
    <w:p w:rsidR="00B863A8" w:rsidRDefault="00B863A8" w:rsidP="00B863A8">
      <w:pPr>
        <w:ind w:firstLine="567"/>
        <w:jc w:val="right"/>
      </w:pPr>
    </w:p>
    <w:tbl>
      <w:tblPr>
        <w:tblStyle w:val="TableGrid"/>
        <w:tblW w:w="0" w:type="auto"/>
        <w:tblLook w:val="04A0" w:firstRow="1" w:lastRow="0" w:firstColumn="1" w:lastColumn="0" w:noHBand="0" w:noVBand="1"/>
      </w:tblPr>
      <w:tblGrid>
        <w:gridCol w:w="5494"/>
        <w:gridCol w:w="5494"/>
      </w:tblGrid>
      <w:tr w:rsidR="00B863A8" w:rsidTr="00B863A8">
        <w:tc>
          <w:tcPr>
            <w:tcW w:w="5494" w:type="dxa"/>
          </w:tcPr>
          <w:p w:rsidR="00B863A8" w:rsidRDefault="00B863A8" w:rsidP="00B863A8">
            <w:pPr>
              <w:jc w:val="both"/>
            </w:pPr>
            <w:r>
              <w:t>1.slīds</w:t>
            </w:r>
            <w:r w:rsidR="00023960">
              <w:rPr>
                <w:noProof/>
                <w:lang w:val="en-US"/>
              </w:rPr>
              <w:drawing>
                <wp:inline distT="0" distB="0" distL="0" distR="0">
                  <wp:extent cx="3314700" cy="2505075"/>
                  <wp:effectExtent l="0" t="0" r="0" b="9525"/>
                  <wp:docPr id="7"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2505075"/>
                          </a:xfrm>
                          <a:prstGeom prst="rect">
                            <a:avLst/>
                          </a:prstGeom>
                          <a:noFill/>
                          <a:ln>
                            <a:noFill/>
                          </a:ln>
                        </pic:spPr>
                      </pic:pic>
                    </a:graphicData>
                  </a:graphic>
                </wp:inline>
              </w:drawing>
            </w:r>
          </w:p>
        </w:tc>
        <w:tc>
          <w:tcPr>
            <w:tcW w:w="5494" w:type="dxa"/>
          </w:tcPr>
          <w:p w:rsidR="00B863A8" w:rsidRDefault="00B863A8" w:rsidP="00B863A8">
            <w:pPr>
              <w:jc w:val="both"/>
            </w:pPr>
            <w:r>
              <w:t>2.slīds</w:t>
            </w:r>
          </w:p>
          <w:p w:rsidR="00B863A8" w:rsidRDefault="00023960" w:rsidP="00B863A8">
            <w:pPr>
              <w:jc w:val="both"/>
            </w:pPr>
            <w:r>
              <w:rPr>
                <w:noProof/>
                <w:lang w:val="en-US"/>
              </w:rPr>
              <w:drawing>
                <wp:inline distT="0" distB="0" distL="0" distR="0">
                  <wp:extent cx="3276600" cy="2476500"/>
                  <wp:effectExtent l="0" t="0" r="0" b="0"/>
                  <wp:docPr id="6" name="Picture 2"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2476500"/>
                          </a:xfrm>
                          <a:prstGeom prst="rect">
                            <a:avLst/>
                          </a:prstGeom>
                          <a:noFill/>
                          <a:ln>
                            <a:noFill/>
                          </a:ln>
                        </pic:spPr>
                      </pic:pic>
                    </a:graphicData>
                  </a:graphic>
                </wp:inline>
              </w:drawing>
            </w:r>
          </w:p>
        </w:tc>
      </w:tr>
      <w:tr w:rsidR="00B863A8" w:rsidTr="00B863A8">
        <w:tc>
          <w:tcPr>
            <w:tcW w:w="5494" w:type="dxa"/>
          </w:tcPr>
          <w:p w:rsidR="00B863A8" w:rsidRDefault="00B863A8" w:rsidP="00B863A8">
            <w:pPr>
              <w:jc w:val="both"/>
            </w:pPr>
            <w:r>
              <w:t>3.slīds</w:t>
            </w:r>
          </w:p>
          <w:p w:rsidR="00B863A8" w:rsidRDefault="00023960" w:rsidP="00B863A8">
            <w:pPr>
              <w:jc w:val="both"/>
            </w:pPr>
            <w:r>
              <w:rPr>
                <w:noProof/>
                <w:lang w:val="en-US"/>
              </w:rPr>
              <w:drawing>
                <wp:inline distT="0" distB="0" distL="0" distR="0">
                  <wp:extent cx="3314700" cy="2505075"/>
                  <wp:effectExtent l="0" t="0" r="0" b="9525"/>
                  <wp:docPr id="2" name="Picture 3"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2505075"/>
                          </a:xfrm>
                          <a:prstGeom prst="rect">
                            <a:avLst/>
                          </a:prstGeom>
                          <a:noFill/>
                          <a:ln>
                            <a:noFill/>
                          </a:ln>
                        </pic:spPr>
                      </pic:pic>
                    </a:graphicData>
                  </a:graphic>
                </wp:inline>
              </w:drawing>
            </w:r>
          </w:p>
        </w:tc>
        <w:tc>
          <w:tcPr>
            <w:tcW w:w="5494" w:type="dxa"/>
            <w:tcBorders>
              <w:bottom w:val="single" w:sz="4" w:space="0" w:color="auto"/>
            </w:tcBorders>
          </w:tcPr>
          <w:p w:rsidR="00B863A8" w:rsidRDefault="00B863A8" w:rsidP="00B863A8">
            <w:pPr>
              <w:jc w:val="both"/>
            </w:pPr>
            <w:r>
              <w:t>4.slīds</w:t>
            </w:r>
          </w:p>
          <w:p w:rsidR="00B863A8" w:rsidRDefault="00023960" w:rsidP="00B863A8">
            <w:pPr>
              <w:jc w:val="both"/>
            </w:pPr>
            <w:r>
              <w:rPr>
                <w:noProof/>
                <w:lang w:val="en-US"/>
              </w:rPr>
              <w:drawing>
                <wp:inline distT="0" distB="0" distL="0" distR="0">
                  <wp:extent cx="3276600" cy="2457450"/>
                  <wp:effectExtent l="0" t="0" r="0" b="0"/>
                  <wp:docPr id="1" name="Picture 4"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inline>
              </w:drawing>
            </w:r>
          </w:p>
        </w:tc>
      </w:tr>
      <w:tr w:rsidR="00B863A8" w:rsidTr="00B863A8">
        <w:tc>
          <w:tcPr>
            <w:tcW w:w="5494" w:type="dxa"/>
            <w:tcBorders>
              <w:right w:val="single" w:sz="4" w:space="0" w:color="auto"/>
            </w:tcBorders>
          </w:tcPr>
          <w:p w:rsidR="00B863A8" w:rsidRDefault="00B863A8" w:rsidP="00B863A8">
            <w:pPr>
              <w:jc w:val="both"/>
            </w:pPr>
            <w:r>
              <w:t>5.slīds</w:t>
            </w:r>
          </w:p>
          <w:p w:rsidR="00B863A8" w:rsidRDefault="00023960" w:rsidP="00B863A8">
            <w:pPr>
              <w:jc w:val="both"/>
            </w:pPr>
            <w:r>
              <w:rPr>
                <w:noProof/>
                <w:lang w:val="en-US"/>
              </w:rPr>
              <w:drawing>
                <wp:inline distT="0" distB="0" distL="0" distR="0">
                  <wp:extent cx="3314700" cy="2505075"/>
                  <wp:effectExtent l="0" t="0" r="0" b="9525"/>
                  <wp:docPr id="5" name="Picture 5"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2505075"/>
                          </a:xfrm>
                          <a:prstGeom prst="rect">
                            <a:avLst/>
                          </a:prstGeom>
                          <a:noFill/>
                          <a:ln>
                            <a:noFill/>
                          </a:ln>
                        </pic:spPr>
                      </pic:pic>
                    </a:graphicData>
                  </a:graphic>
                </wp:inline>
              </w:drawing>
            </w:r>
          </w:p>
        </w:tc>
        <w:tc>
          <w:tcPr>
            <w:tcW w:w="5494" w:type="dxa"/>
            <w:tcBorders>
              <w:left w:val="single" w:sz="4" w:space="0" w:color="auto"/>
              <w:bottom w:val="nil"/>
              <w:right w:val="nil"/>
            </w:tcBorders>
          </w:tcPr>
          <w:p w:rsidR="00B863A8" w:rsidRDefault="00B863A8" w:rsidP="00B863A8">
            <w:pPr>
              <w:jc w:val="both"/>
            </w:pPr>
          </w:p>
        </w:tc>
      </w:tr>
    </w:tbl>
    <w:p w:rsidR="00B863A8" w:rsidRDefault="00B863A8" w:rsidP="00B863A8">
      <w:pPr>
        <w:ind w:firstLine="567"/>
        <w:jc w:val="both"/>
      </w:pPr>
    </w:p>
    <w:p w:rsidR="00C760A1" w:rsidRDefault="00C760A1">
      <w:r>
        <w:br w:type="page"/>
      </w:r>
    </w:p>
    <w:p w:rsidR="00C760A1" w:rsidRDefault="00C760A1" w:rsidP="00C760A1">
      <w:pPr>
        <w:ind w:firstLine="567"/>
        <w:jc w:val="right"/>
      </w:pPr>
      <w:r>
        <w:lastRenderedPageBreak/>
        <w:t>4.pielikums.</w:t>
      </w:r>
    </w:p>
    <w:p w:rsidR="00C760A1" w:rsidRDefault="00C760A1" w:rsidP="00C760A1">
      <w:pPr>
        <w:ind w:firstLine="567"/>
        <w:jc w:val="right"/>
      </w:pPr>
      <w:r>
        <w:t>Tabula patstāvīgai izglītojamo izaugsmes mērīšanai</w:t>
      </w:r>
    </w:p>
    <w:p w:rsidR="00C760A1" w:rsidRDefault="00C760A1" w:rsidP="00C760A1">
      <w:pPr>
        <w:ind w:firstLine="567"/>
        <w:jc w:val="right"/>
      </w:pPr>
    </w:p>
    <w:tbl>
      <w:tblPr>
        <w:tblStyle w:val="TableGrid"/>
        <w:tblW w:w="10598" w:type="dxa"/>
        <w:tblLook w:val="04A0" w:firstRow="1" w:lastRow="0" w:firstColumn="1" w:lastColumn="0" w:noHBand="0" w:noVBand="1"/>
      </w:tblPr>
      <w:tblGrid>
        <w:gridCol w:w="5070"/>
        <w:gridCol w:w="5528"/>
      </w:tblGrid>
      <w:tr w:rsidR="00C760A1" w:rsidRPr="0046109A" w:rsidTr="002A5DAD">
        <w:tc>
          <w:tcPr>
            <w:tcW w:w="5070" w:type="dxa"/>
            <w:shd w:val="clear" w:color="auto" w:fill="F2F2F2" w:themeFill="background1" w:themeFillShade="F2"/>
          </w:tcPr>
          <w:p w:rsidR="00C760A1" w:rsidRPr="00814DDC" w:rsidRDefault="00C760A1" w:rsidP="002A5DAD">
            <w:pPr>
              <w:rPr>
                <w:b/>
              </w:rPr>
            </w:pPr>
            <w:r>
              <w:rPr>
                <w:b/>
              </w:rPr>
              <w:t xml:space="preserve">Stundas tēma un </w:t>
            </w:r>
            <w:r w:rsidRPr="00814DDC">
              <w:rPr>
                <w:b/>
              </w:rPr>
              <w:t>SR</w:t>
            </w:r>
          </w:p>
        </w:tc>
        <w:tc>
          <w:tcPr>
            <w:tcW w:w="5528" w:type="dxa"/>
            <w:shd w:val="clear" w:color="auto" w:fill="F2F2F2" w:themeFill="background1" w:themeFillShade="F2"/>
          </w:tcPr>
          <w:p w:rsidR="00C760A1" w:rsidRDefault="00C760A1" w:rsidP="002A5DAD">
            <w:pPr>
              <w:rPr>
                <w:b/>
              </w:rPr>
            </w:pPr>
            <w:r>
              <w:rPr>
                <w:b/>
              </w:rPr>
              <w:t>Atbildes uz jautājumiem:</w:t>
            </w:r>
          </w:p>
          <w:p w:rsidR="00C760A1" w:rsidRDefault="00C760A1" w:rsidP="00C760A1">
            <w:pPr>
              <w:pStyle w:val="ListParagraph"/>
              <w:numPr>
                <w:ilvl w:val="0"/>
                <w:numId w:val="12"/>
              </w:numPr>
              <w:rPr>
                <w:b/>
              </w:rPr>
            </w:pPr>
            <w:r>
              <w:rPr>
                <w:b/>
              </w:rPr>
              <w:t xml:space="preserve">Ko iemācījos? </w:t>
            </w:r>
            <w:r w:rsidRPr="0046109A">
              <w:rPr>
                <w:b/>
                <w:i/>
              </w:rPr>
              <w:t>(pierādījumi...)</w:t>
            </w:r>
          </w:p>
          <w:p w:rsidR="00C760A1" w:rsidRDefault="00C760A1" w:rsidP="00C760A1">
            <w:pPr>
              <w:pStyle w:val="ListParagraph"/>
              <w:numPr>
                <w:ilvl w:val="0"/>
                <w:numId w:val="12"/>
              </w:numPr>
              <w:rPr>
                <w:b/>
              </w:rPr>
            </w:pPr>
            <w:r>
              <w:rPr>
                <w:b/>
              </w:rPr>
              <w:t>Kas vēl jāmācās?</w:t>
            </w:r>
          </w:p>
          <w:p w:rsidR="00C760A1" w:rsidRPr="0046109A" w:rsidRDefault="00C760A1" w:rsidP="00C760A1">
            <w:pPr>
              <w:pStyle w:val="ListParagraph"/>
              <w:numPr>
                <w:ilvl w:val="0"/>
                <w:numId w:val="12"/>
              </w:numPr>
              <w:rPr>
                <w:b/>
              </w:rPr>
            </w:pPr>
            <w:r>
              <w:rPr>
                <w:b/>
              </w:rPr>
              <w:t>Ko darīšu tālāk?</w:t>
            </w:r>
          </w:p>
        </w:tc>
      </w:tr>
      <w:tr w:rsidR="00C760A1" w:rsidRPr="0095229A" w:rsidTr="002A5DAD">
        <w:tc>
          <w:tcPr>
            <w:tcW w:w="5070" w:type="dxa"/>
          </w:tcPr>
          <w:p w:rsidR="00C760A1" w:rsidRPr="0095229A" w:rsidRDefault="00C760A1" w:rsidP="002A5DAD">
            <w:pPr>
              <w:rPr>
                <w:b/>
                <w:smallCaps/>
              </w:rPr>
            </w:pPr>
            <w:r w:rsidRPr="0095229A">
              <w:rPr>
                <w:b/>
                <w:smallCaps/>
              </w:rPr>
              <w:t xml:space="preserve">Šūnu dalīšanās </w:t>
            </w:r>
          </w:p>
          <w:p w:rsidR="00C760A1" w:rsidRDefault="00C760A1" w:rsidP="002A5DAD">
            <w:pPr>
              <w:pStyle w:val="ListParagraph"/>
              <w:numPr>
                <w:ilvl w:val="0"/>
                <w:numId w:val="1"/>
              </w:numPr>
              <w:ind w:left="317"/>
            </w:pPr>
            <w:r>
              <w:t>Zina šūnu dalīšanās nozīmi un zinātnes attīstības vēsturi.</w:t>
            </w:r>
          </w:p>
          <w:p w:rsidR="00C760A1" w:rsidRDefault="00C760A1" w:rsidP="002A5DAD">
            <w:pPr>
              <w:pStyle w:val="ListParagraph"/>
              <w:numPr>
                <w:ilvl w:val="0"/>
                <w:numId w:val="1"/>
              </w:numPr>
              <w:ind w:left="317"/>
            </w:pPr>
            <w:r>
              <w:t>Izmanto jēdzienus šūnu dalīšanās procesa skaidrošanai (</w:t>
            </w:r>
            <w:r w:rsidRPr="00814DDC">
              <w:t>mitoze, mejoze, amitoze, interfāze, homologās hromosomas, haploīds, diploīds, krustmija, DNS replikācija</w:t>
            </w:r>
            <w:r>
              <w:t>).</w:t>
            </w:r>
          </w:p>
        </w:tc>
        <w:tc>
          <w:tcPr>
            <w:tcW w:w="5528" w:type="dxa"/>
          </w:tcPr>
          <w:p w:rsidR="00C760A1" w:rsidRPr="0095229A" w:rsidRDefault="00C760A1" w:rsidP="002A5DAD">
            <w:pPr>
              <w:rPr>
                <w:b/>
                <w:smallCaps/>
              </w:rPr>
            </w:pPr>
          </w:p>
        </w:tc>
      </w:tr>
      <w:tr w:rsidR="00C760A1" w:rsidRPr="0095229A" w:rsidTr="002A5DAD">
        <w:tc>
          <w:tcPr>
            <w:tcW w:w="5070" w:type="dxa"/>
          </w:tcPr>
          <w:p w:rsidR="00C760A1" w:rsidRPr="0095229A" w:rsidRDefault="00C760A1" w:rsidP="002A5DAD">
            <w:pPr>
              <w:rPr>
                <w:b/>
                <w:smallCaps/>
              </w:rPr>
            </w:pPr>
            <w:r w:rsidRPr="0095229A">
              <w:rPr>
                <w:b/>
                <w:smallCaps/>
              </w:rPr>
              <w:t xml:space="preserve">Mitoze </w:t>
            </w:r>
          </w:p>
          <w:p w:rsidR="00C760A1" w:rsidRDefault="00C760A1" w:rsidP="002A5DAD">
            <w:pPr>
              <w:pStyle w:val="ListParagraph"/>
              <w:numPr>
                <w:ilvl w:val="0"/>
                <w:numId w:val="2"/>
              </w:numPr>
              <w:ind w:left="317"/>
            </w:pPr>
            <w:r>
              <w:t>Saskata mitozes stadijas šūnu mikropreparātos.</w:t>
            </w:r>
          </w:p>
          <w:p w:rsidR="00C760A1" w:rsidRDefault="00C760A1" w:rsidP="002A5DAD">
            <w:pPr>
              <w:pStyle w:val="ListParagraph"/>
              <w:numPr>
                <w:ilvl w:val="0"/>
                <w:numId w:val="2"/>
              </w:numPr>
              <w:ind w:left="317"/>
            </w:pPr>
            <w:r>
              <w:t>Attēlo mitozes stadijas shematiskos zīmējumos.</w:t>
            </w:r>
          </w:p>
        </w:tc>
        <w:tc>
          <w:tcPr>
            <w:tcW w:w="5528" w:type="dxa"/>
          </w:tcPr>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Pr="0095229A" w:rsidRDefault="00C760A1" w:rsidP="002A5DAD">
            <w:pPr>
              <w:rPr>
                <w:b/>
                <w:smallCaps/>
              </w:rPr>
            </w:pPr>
          </w:p>
        </w:tc>
      </w:tr>
      <w:tr w:rsidR="00C760A1" w:rsidRPr="0095229A" w:rsidTr="002A5DAD">
        <w:tc>
          <w:tcPr>
            <w:tcW w:w="5070" w:type="dxa"/>
          </w:tcPr>
          <w:p w:rsidR="00C760A1" w:rsidRPr="0095229A" w:rsidRDefault="00C760A1" w:rsidP="002A5DAD">
            <w:pPr>
              <w:rPr>
                <w:b/>
                <w:smallCaps/>
              </w:rPr>
            </w:pPr>
            <w:r w:rsidRPr="0095229A">
              <w:rPr>
                <w:b/>
                <w:smallCaps/>
              </w:rPr>
              <w:t>Mitoze – modelis</w:t>
            </w:r>
          </w:p>
          <w:p w:rsidR="00C760A1" w:rsidRDefault="00C760A1" w:rsidP="002A5DAD">
            <w:pPr>
              <w:pStyle w:val="ListParagraph"/>
              <w:numPr>
                <w:ilvl w:val="0"/>
                <w:numId w:val="3"/>
              </w:numPr>
              <w:ind w:left="317"/>
            </w:pPr>
            <w:r>
              <w:t>Veido vizuālu mitozes modeli (norises shēmu).</w:t>
            </w:r>
          </w:p>
          <w:p w:rsidR="00C760A1" w:rsidRDefault="00C760A1" w:rsidP="002A5DAD">
            <w:pPr>
              <w:pStyle w:val="ListParagraph"/>
              <w:numPr>
                <w:ilvl w:val="0"/>
                <w:numId w:val="3"/>
              </w:numPr>
              <w:ind w:left="317"/>
            </w:pPr>
            <w:r>
              <w:t>Skaidro, kā notiek mitoze.</w:t>
            </w:r>
          </w:p>
        </w:tc>
        <w:tc>
          <w:tcPr>
            <w:tcW w:w="5528" w:type="dxa"/>
          </w:tcPr>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Pr="0095229A" w:rsidRDefault="00C760A1" w:rsidP="002A5DAD">
            <w:pPr>
              <w:rPr>
                <w:b/>
                <w:smallCaps/>
              </w:rPr>
            </w:pPr>
          </w:p>
        </w:tc>
      </w:tr>
      <w:tr w:rsidR="00C760A1" w:rsidRPr="0095229A" w:rsidTr="002A5DAD">
        <w:tc>
          <w:tcPr>
            <w:tcW w:w="5070" w:type="dxa"/>
          </w:tcPr>
          <w:p w:rsidR="00C760A1" w:rsidRPr="0095229A" w:rsidRDefault="00C760A1" w:rsidP="002A5DAD">
            <w:pPr>
              <w:rPr>
                <w:b/>
                <w:smallCaps/>
              </w:rPr>
            </w:pPr>
            <w:r w:rsidRPr="0095229A">
              <w:rPr>
                <w:b/>
                <w:smallCaps/>
              </w:rPr>
              <w:t>LD Šūnu dzīves cikla izpēte sīpola sakņu veidotājaudos</w:t>
            </w:r>
          </w:p>
          <w:p w:rsidR="00C760A1" w:rsidRDefault="00C760A1" w:rsidP="002A5DAD">
            <w:pPr>
              <w:pStyle w:val="ListParagraph"/>
              <w:numPr>
                <w:ilvl w:val="0"/>
                <w:numId w:val="4"/>
              </w:numPr>
              <w:ind w:left="317"/>
            </w:pPr>
            <w:r>
              <w:t>Saskata mitozes stadijas sīpola šūnu mikropreparātos.</w:t>
            </w:r>
          </w:p>
          <w:p w:rsidR="00C760A1" w:rsidRDefault="00C760A1" w:rsidP="002A5DAD">
            <w:pPr>
              <w:pStyle w:val="ListParagraph"/>
              <w:numPr>
                <w:ilvl w:val="0"/>
                <w:numId w:val="4"/>
              </w:numPr>
              <w:ind w:left="317"/>
            </w:pPr>
            <w:r>
              <w:t>Aprēķina mitozes stadiju ilgumu sīpola šūnās.</w:t>
            </w:r>
          </w:p>
        </w:tc>
        <w:tc>
          <w:tcPr>
            <w:tcW w:w="5528" w:type="dxa"/>
          </w:tcPr>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Pr="0095229A" w:rsidRDefault="00C760A1" w:rsidP="002A5DAD">
            <w:pPr>
              <w:rPr>
                <w:b/>
                <w:smallCaps/>
              </w:rPr>
            </w:pPr>
          </w:p>
        </w:tc>
      </w:tr>
      <w:tr w:rsidR="00C760A1" w:rsidRPr="0095229A" w:rsidTr="002A5DAD">
        <w:tc>
          <w:tcPr>
            <w:tcW w:w="5070" w:type="dxa"/>
          </w:tcPr>
          <w:p w:rsidR="00C760A1" w:rsidRPr="0095229A" w:rsidRDefault="00C760A1" w:rsidP="002A5DAD">
            <w:pPr>
              <w:rPr>
                <w:b/>
                <w:smallCaps/>
              </w:rPr>
            </w:pPr>
            <w:r w:rsidRPr="0095229A">
              <w:rPr>
                <w:b/>
                <w:smallCaps/>
              </w:rPr>
              <w:t>Mejoze</w:t>
            </w:r>
          </w:p>
          <w:p w:rsidR="00C760A1" w:rsidRDefault="00C760A1" w:rsidP="002A5DAD">
            <w:pPr>
              <w:pStyle w:val="ListParagraph"/>
              <w:numPr>
                <w:ilvl w:val="0"/>
                <w:numId w:val="5"/>
              </w:numPr>
              <w:ind w:left="317"/>
            </w:pPr>
            <w:r>
              <w:t>Skaidro, kā notiek mejoze.</w:t>
            </w:r>
          </w:p>
          <w:p w:rsidR="00C760A1" w:rsidRDefault="00C760A1" w:rsidP="002A5DAD">
            <w:pPr>
              <w:pStyle w:val="ListParagraph"/>
              <w:numPr>
                <w:ilvl w:val="0"/>
                <w:numId w:val="5"/>
              </w:numPr>
              <w:ind w:left="317"/>
            </w:pPr>
            <w:r>
              <w:t>Salīdzina mitozi un mejozi.</w:t>
            </w:r>
          </w:p>
        </w:tc>
        <w:tc>
          <w:tcPr>
            <w:tcW w:w="5528" w:type="dxa"/>
          </w:tcPr>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Pr="0095229A" w:rsidRDefault="00C760A1" w:rsidP="002A5DAD">
            <w:pPr>
              <w:rPr>
                <w:b/>
                <w:smallCaps/>
              </w:rPr>
            </w:pPr>
          </w:p>
        </w:tc>
      </w:tr>
      <w:tr w:rsidR="00C760A1" w:rsidRPr="0095229A" w:rsidTr="002A5DAD">
        <w:tc>
          <w:tcPr>
            <w:tcW w:w="5070" w:type="dxa"/>
          </w:tcPr>
          <w:p w:rsidR="00C760A1" w:rsidRPr="0095229A" w:rsidRDefault="00C760A1" w:rsidP="002A5DAD">
            <w:pPr>
              <w:rPr>
                <w:b/>
                <w:smallCaps/>
              </w:rPr>
            </w:pPr>
            <w:r w:rsidRPr="0095229A">
              <w:rPr>
                <w:b/>
                <w:smallCaps/>
              </w:rPr>
              <w:t xml:space="preserve">Spermatoģenēze un ooģenēze </w:t>
            </w:r>
          </w:p>
          <w:p w:rsidR="00C760A1" w:rsidRDefault="00C760A1" w:rsidP="002A5DAD">
            <w:pPr>
              <w:pStyle w:val="ListParagraph"/>
              <w:numPr>
                <w:ilvl w:val="0"/>
                <w:numId w:val="6"/>
              </w:numPr>
              <w:ind w:left="317"/>
            </w:pPr>
            <w:r>
              <w:t>Analizē spermatoģenēzes un ooģenēzes galvenos posmus un atšķirības, izmantojot shēmas.</w:t>
            </w:r>
          </w:p>
          <w:p w:rsidR="00C760A1" w:rsidRDefault="00C760A1" w:rsidP="002A5DAD">
            <w:pPr>
              <w:pStyle w:val="ListParagraph"/>
              <w:numPr>
                <w:ilvl w:val="0"/>
                <w:numId w:val="6"/>
              </w:numPr>
              <w:ind w:left="317"/>
            </w:pPr>
            <w:r>
              <w:t>Secina par spermatoģenēzes un ooģenēzes nozīmi organismu vairošanās procesā.</w:t>
            </w:r>
          </w:p>
        </w:tc>
        <w:tc>
          <w:tcPr>
            <w:tcW w:w="5528" w:type="dxa"/>
          </w:tcPr>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Default="00C760A1" w:rsidP="002A5DAD">
            <w:pPr>
              <w:rPr>
                <w:b/>
                <w:smallCaps/>
              </w:rPr>
            </w:pPr>
          </w:p>
          <w:p w:rsidR="00C760A1" w:rsidRPr="0095229A" w:rsidRDefault="00C760A1" w:rsidP="002A5DAD">
            <w:pPr>
              <w:rPr>
                <w:b/>
                <w:smallCaps/>
              </w:rPr>
            </w:pPr>
          </w:p>
        </w:tc>
      </w:tr>
      <w:tr w:rsidR="00C760A1" w:rsidRPr="0095229A" w:rsidTr="002A5DAD">
        <w:tc>
          <w:tcPr>
            <w:tcW w:w="5070" w:type="dxa"/>
          </w:tcPr>
          <w:p w:rsidR="00C760A1" w:rsidRPr="0095229A" w:rsidRDefault="00C760A1" w:rsidP="002A5DAD">
            <w:pPr>
              <w:rPr>
                <w:b/>
                <w:smallCaps/>
              </w:rPr>
            </w:pPr>
            <w:r w:rsidRPr="0095229A">
              <w:rPr>
                <w:b/>
                <w:smallCaps/>
              </w:rPr>
              <w:t xml:space="preserve">Vides ietekme uz šūnu dalīšanos </w:t>
            </w:r>
          </w:p>
          <w:p w:rsidR="00C760A1" w:rsidRDefault="00C760A1" w:rsidP="002A5DAD">
            <w:pPr>
              <w:pStyle w:val="ListParagraph"/>
              <w:numPr>
                <w:ilvl w:val="0"/>
                <w:numId w:val="6"/>
              </w:numPr>
              <w:ind w:left="318"/>
            </w:pPr>
            <w:r>
              <w:t>Pamato vides faktoru lomu slimību izcelsmē, kas saistītas ar šūnu dalīšanos un dzimumšūnu attīstību.</w:t>
            </w:r>
          </w:p>
          <w:p w:rsidR="00C760A1" w:rsidRDefault="00C760A1" w:rsidP="002A5DAD">
            <w:pPr>
              <w:pStyle w:val="ListParagraph"/>
              <w:numPr>
                <w:ilvl w:val="0"/>
                <w:numId w:val="7"/>
              </w:numPr>
              <w:ind w:left="317"/>
            </w:pPr>
            <w:r>
              <w:t>Izvērtē ļaundabīgo audzēju agrīnās diagnosticēšanas nepieciešamību.</w:t>
            </w:r>
          </w:p>
        </w:tc>
        <w:tc>
          <w:tcPr>
            <w:tcW w:w="5528" w:type="dxa"/>
          </w:tcPr>
          <w:p w:rsidR="00C760A1" w:rsidRDefault="00C760A1" w:rsidP="002A5DAD">
            <w:pPr>
              <w:rPr>
                <w:rFonts w:ascii="Comic Sans MS" w:hAnsi="Comic Sans MS"/>
              </w:rPr>
            </w:pPr>
          </w:p>
          <w:p w:rsidR="00C760A1" w:rsidRDefault="00C760A1" w:rsidP="002A5DAD">
            <w:pPr>
              <w:rPr>
                <w:rFonts w:ascii="Comic Sans MS" w:hAnsi="Comic Sans MS"/>
              </w:rPr>
            </w:pPr>
          </w:p>
          <w:p w:rsidR="00C760A1" w:rsidRDefault="00C760A1" w:rsidP="002A5DAD">
            <w:pPr>
              <w:rPr>
                <w:rFonts w:ascii="Comic Sans MS" w:hAnsi="Comic Sans MS"/>
              </w:rPr>
            </w:pPr>
          </w:p>
          <w:p w:rsidR="00C760A1" w:rsidRDefault="00C760A1" w:rsidP="002A5DAD">
            <w:pPr>
              <w:rPr>
                <w:rFonts w:ascii="Comic Sans MS" w:hAnsi="Comic Sans MS"/>
              </w:rPr>
            </w:pPr>
          </w:p>
          <w:p w:rsidR="00C760A1" w:rsidRDefault="00C760A1" w:rsidP="002A5DAD">
            <w:pPr>
              <w:rPr>
                <w:rFonts w:ascii="Comic Sans MS" w:hAnsi="Comic Sans MS"/>
              </w:rPr>
            </w:pPr>
          </w:p>
          <w:p w:rsidR="00C760A1" w:rsidRPr="0095229A" w:rsidRDefault="00C760A1" w:rsidP="002A5DAD">
            <w:pPr>
              <w:rPr>
                <w:rFonts w:ascii="Comic Sans MS" w:hAnsi="Comic Sans MS"/>
              </w:rPr>
            </w:pPr>
          </w:p>
        </w:tc>
      </w:tr>
    </w:tbl>
    <w:p w:rsidR="00C760A1" w:rsidRDefault="00C760A1" w:rsidP="00C760A1">
      <w:pPr>
        <w:ind w:firstLine="567"/>
        <w:jc w:val="both"/>
      </w:pPr>
    </w:p>
    <w:sectPr w:rsidR="00C760A1" w:rsidSect="009361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AFB"/>
    <w:multiLevelType w:val="hybridMultilevel"/>
    <w:tmpl w:val="8D28DABA"/>
    <w:lvl w:ilvl="0" w:tplc="D098D8D0">
      <w:start w:val="1"/>
      <w:numFmt w:val="bullet"/>
      <w:lvlText w:val="•"/>
      <w:lvlJc w:val="left"/>
      <w:pPr>
        <w:tabs>
          <w:tab w:val="num" w:pos="720"/>
        </w:tabs>
        <w:ind w:left="720" w:hanging="360"/>
      </w:pPr>
      <w:rPr>
        <w:rFonts w:ascii="Arial" w:hAnsi="Arial" w:hint="default"/>
      </w:rPr>
    </w:lvl>
    <w:lvl w:ilvl="1" w:tplc="260CFEA0" w:tentative="1">
      <w:start w:val="1"/>
      <w:numFmt w:val="bullet"/>
      <w:lvlText w:val="•"/>
      <w:lvlJc w:val="left"/>
      <w:pPr>
        <w:tabs>
          <w:tab w:val="num" w:pos="1440"/>
        </w:tabs>
        <w:ind w:left="1440" w:hanging="360"/>
      </w:pPr>
      <w:rPr>
        <w:rFonts w:ascii="Arial" w:hAnsi="Arial" w:hint="default"/>
      </w:rPr>
    </w:lvl>
    <w:lvl w:ilvl="2" w:tplc="CDF6EB0A" w:tentative="1">
      <w:start w:val="1"/>
      <w:numFmt w:val="bullet"/>
      <w:lvlText w:val="•"/>
      <w:lvlJc w:val="left"/>
      <w:pPr>
        <w:tabs>
          <w:tab w:val="num" w:pos="2160"/>
        </w:tabs>
        <w:ind w:left="2160" w:hanging="360"/>
      </w:pPr>
      <w:rPr>
        <w:rFonts w:ascii="Arial" w:hAnsi="Arial" w:hint="default"/>
      </w:rPr>
    </w:lvl>
    <w:lvl w:ilvl="3" w:tplc="95E2AAE6" w:tentative="1">
      <w:start w:val="1"/>
      <w:numFmt w:val="bullet"/>
      <w:lvlText w:val="•"/>
      <w:lvlJc w:val="left"/>
      <w:pPr>
        <w:tabs>
          <w:tab w:val="num" w:pos="2880"/>
        </w:tabs>
        <w:ind w:left="2880" w:hanging="360"/>
      </w:pPr>
      <w:rPr>
        <w:rFonts w:ascii="Arial" w:hAnsi="Arial" w:hint="default"/>
      </w:rPr>
    </w:lvl>
    <w:lvl w:ilvl="4" w:tplc="C8D05570" w:tentative="1">
      <w:start w:val="1"/>
      <w:numFmt w:val="bullet"/>
      <w:lvlText w:val="•"/>
      <w:lvlJc w:val="left"/>
      <w:pPr>
        <w:tabs>
          <w:tab w:val="num" w:pos="3600"/>
        </w:tabs>
        <w:ind w:left="3600" w:hanging="360"/>
      </w:pPr>
      <w:rPr>
        <w:rFonts w:ascii="Arial" w:hAnsi="Arial" w:hint="default"/>
      </w:rPr>
    </w:lvl>
    <w:lvl w:ilvl="5" w:tplc="2A90461E" w:tentative="1">
      <w:start w:val="1"/>
      <w:numFmt w:val="bullet"/>
      <w:lvlText w:val="•"/>
      <w:lvlJc w:val="left"/>
      <w:pPr>
        <w:tabs>
          <w:tab w:val="num" w:pos="4320"/>
        </w:tabs>
        <w:ind w:left="4320" w:hanging="360"/>
      </w:pPr>
      <w:rPr>
        <w:rFonts w:ascii="Arial" w:hAnsi="Arial" w:hint="default"/>
      </w:rPr>
    </w:lvl>
    <w:lvl w:ilvl="6" w:tplc="57D2A73A" w:tentative="1">
      <w:start w:val="1"/>
      <w:numFmt w:val="bullet"/>
      <w:lvlText w:val="•"/>
      <w:lvlJc w:val="left"/>
      <w:pPr>
        <w:tabs>
          <w:tab w:val="num" w:pos="5040"/>
        </w:tabs>
        <w:ind w:left="5040" w:hanging="360"/>
      </w:pPr>
      <w:rPr>
        <w:rFonts w:ascii="Arial" w:hAnsi="Arial" w:hint="default"/>
      </w:rPr>
    </w:lvl>
    <w:lvl w:ilvl="7" w:tplc="C5C487EA" w:tentative="1">
      <w:start w:val="1"/>
      <w:numFmt w:val="bullet"/>
      <w:lvlText w:val="•"/>
      <w:lvlJc w:val="left"/>
      <w:pPr>
        <w:tabs>
          <w:tab w:val="num" w:pos="5760"/>
        </w:tabs>
        <w:ind w:left="5760" w:hanging="360"/>
      </w:pPr>
      <w:rPr>
        <w:rFonts w:ascii="Arial" w:hAnsi="Arial" w:hint="default"/>
      </w:rPr>
    </w:lvl>
    <w:lvl w:ilvl="8" w:tplc="B74A27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02FC1"/>
    <w:multiLevelType w:val="hybridMultilevel"/>
    <w:tmpl w:val="1DF49F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E84508"/>
    <w:multiLevelType w:val="hybridMultilevel"/>
    <w:tmpl w:val="0D584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372278"/>
    <w:multiLevelType w:val="hybridMultilevel"/>
    <w:tmpl w:val="0F8CA9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B1816"/>
    <w:multiLevelType w:val="hybridMultilevel"/>
    <w:tmpl w:val="722C5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FB6DBB"/>
    <w:multiLevelType w:val="hybridMultilevel"/>
    <w:tmpl w:val="BF6C0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3B0BEA"/>
    <w:multiLevelType w:val="hybridMultilevel"/>
    <w:tmpl w:val="9188A3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747201"/>
    <w:multiLevelType w:val="hybridMultilevel"/>
    <w:tmpl w:val="2366865A"/>
    <w:lvl w:ilvl="0" w:tplc="67407A1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01369BF"/>
    <w:multiLevelType w:val="hybridMultilevel"/>
    <w:tmpl w:val="706A2AAE"/>
    <w:lvl w:ilvl="0" w:tplc="9976E6E8">
      <w:start w:val="1"/>
      <w:numFmt w:val="decimal"/>
      <w:lvlText w:val="%1."/>
      <w:lvlJc w:val="left"/>
      <w:pPr>
        <w:tabs>
          <w:tab w:val="num" w:pos="720"/>
        </w:tabs>
        <w:ind w:left="720" w:hanging="360"/>
      </w:pPr>
      <w:rPr>
        <w:rFonts w:ascii="Comic Sans MS" w:eastAsia="Times New Roman" w:hAnsi="Comic Sans MS" w:cs="Times New Roman"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DCA08DB"/>
    <w:multiLevelType w:val="hybridMultilevel"/>
    <w:tmpl w:val="D1C06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59412A"/>
    <w:multiLevelType w:val="hybridMultilevel"/>
    <w:tmpl w:val="5D0E5E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86675C"/>
    <w:multiLevelType w:val="hybridMultilevel"/>
    <w:tmpl w:val="0214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10"/>
  </w:num>
  <w:num w:numId="6">
    <w:abstractNumId w:val="2"/>
  </w:num>
  <w:num w:numId="7">
    <w:abstractNumId w:val="11"/>
  </w:num>
  <w:num w:numId="8">
    <w:abstractNumId w:val="7"/>
  </w:num>
  <w:num w:numId="9">
    <w:abstractNumId w:val="0"/>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DC"/>
    <w:rsid w:val="00023960"/>
    <w:rsid w:val="000D5E01"/>
    <w:rsid w:val="00130925"/>
    <w:rsid w:val="00190A7D"/>
    <w:rsid w:val="00233D1C"/>
    <w:rsid w:val="00234B5F"/>
    <w:rsid w:val="003440B2"/>
    <w:rsid w:val="003640D8"/>
    <w:rsid w:val="003B2DE2"/>
    <w:rsid w:val="003D2B03"/>
    <w:rsid w:val="005204C1"/>
    <w:rsid w:val="00710AFB"/>
    <w:rsid w:val="00814DDC"/>
    <w:rsid w:val="00936188"/>
    <w:rsid w:val="00963A00"/>
    <w:rsid w:val="00B863A8"/>
    <w:rsid w:val="00C760A1"/>
    <w:rsid w:val="00E10D6B"/>
    <w:rsid w:val="00E22677"/>
    <w:rsid w:val="00E236A1"/>
    <w:rsid w:val="00E50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E2120-2F16-4E4C-B85A-80ECC460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A00"/>
    <w:pPr>
      <w:ind w:left="720"/>
      <w:contextualSpacing/>
    </w:pPr>
  </w:style>
  <w:style w:type="paragraph" w:styleId="BalloonText">
    <w:name w:val="Balloon Text"/>
    <w:basedOn w:val="Normal"/>
    <w:link w:val="BalloonTextChar"/>
    <w:uiPriority w:val="99"/>
    <w:semiHidden/>
    <w:unhideWhenUsed/>
    <w:rsid w:val="00C760A1"/>
    <w:rPr>
      <w:rFonts w:ascii="Tahoma" w:hAnsi="Tahoma" w:cs="Tahoma"/>
      <w:sz w:val="16"/>
      <w:szCs w:val="16"/>
    </w:rPr>
  </w:style>
  <w:style w:type="character" w:customStyle="1" w:styleId="BalloonTextChar">
    <w:name w:val="Balloon Text Char"/>
    <w:basedOn w:val="DefaultParagraphFont"/>
    <w:link w:val="BalloonText"/>
    <w:uiPriority w:val="99"/>
    <w:semiHidden/>
    <w:rsid w:val="00C76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Sanita Šabanska</cp:lastModifiedBy>
  <cp:revision>2</cp:revision>
  <dcterms:created xsi:type="dcterms:W3CDTF">2019-05-03T06:33:00Z</dcterms:created>
  <dcterms:modified xsi:type="dcterms:W3CDTF">2019-05-03T06:33:00Z</dcterms:modified>
</cp:coreProperties>
</file>